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Worked Examples and Model Answers Workbook</w:t>
      </w:r>
    </w:p>
    <w:p>
      <w:pPr>
        <w:jc w:val="center"/>
      </w:pPr>
      <w:r>
        <w:rPr>
          <w:i/>
          <w:sz w:val="20"/>
        </w:rPr>
        <w:t>Examples that show beginners what weak, better, and strong answers look like.</w:t>
      </w:r>
    </w:p>
    <w:p/>
    <w:p>
      <w:pPr>
        <w:pStyle w:val="Heading1"/>
      </w:pPr>
      <w:r>
        <w:t>Model answer comparison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Task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Weak answer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Better answer</w:t>
            </w:r>
          </w:p>
        </w:tc>
        <w:tc>
          <w:tcPr>
            <w:tcW w:type="dxa" w:w="2592"/>
            <w:shd w:fill="D9EAF2"/>
            <w:vAlign w:val="center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Strong answer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Observation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This is about faith.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passage contrasts grace and works.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repeated contrast between grace, gift, works, and boasting shows salvation as God's gift rather than human achievement.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Interpretation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 should be nicer.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author teaches humility.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author grounds the command in Christ's example, calling the original readers to gospel-shaped communal humility.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Word study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word means love.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word has several meanings; context decides.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word is load-bearing because it controls the command; here it means active covenantal loyalty expressed toward others.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Cross-reference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This reminds me of another verse.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 same-author passage uses similar language.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same-book reference clarifies the author's usage before wider-canon parallels are considered.</w:t>
            </w:r>
          </w:p>
        </w:tc>
      </w:tr>
      <w:tr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Application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I should trust God more.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The timeless principle is trust in God's provision.</w:t>
            </w:r>
          </w:p>
        </w:tc>
        <w:tc>
          <w:tcPr>
            <w:tcW w:type="dxa" w:w="2592"/>
            <w:vAlign w:val="top"/>
          </w:tcPr>
          <w:p>
            <w:r>
              <w:rPr>
                <w:sz w:val="18"/>
              </w:rPr>
            </w:r>
            <w:r>
              <w:rPr>
                <w:b w:val="0"/>
                <w:sz w:val="18"/>
              </w:rPr>
              <w:t>This week I will refuse the named anxiety-driven behaviour and pray through the specific fear recorded in my notes.</w:t>
            </w:r>
          </w:p>
        </w:tc>
      </w:tr>
    </w:tbl>
    <w:p/>
    <w:p>
      <w:pPr>
        <w:pStyle w:val="Heading1"/>
      </w:pPr>
      <w:r>
        <w:t>Write your corrected answer</w:t>
      </w:r>
    </w:p>
    <w:p>
      <w:pPr>
        <w:pStyle w:val="ListNumber"/>
      </w:pPr>
      <w:r>
        <w:t>Write your first answer honestly.</w:t>
      </w:r>
    </w:p>
    <w:p>
      <w:pPr>
        <w:pStyle w:val="ListNumber"/>
      </w:pPr>
      <w:r>
        <w:t>Underline vague words such as more, better, trust, love, or apply.</w:t>
      </w:r>
    </w:p>
    <w:p>
      <w:pPr>
        <w:pStyle w:val="ListNumber"/>
      </w:pPr>
      <w:r>
        <w:t>Add passage evidence.</w:t>
      </w:r>
    </w:p>
    <w:p>
      <w:pPr>
        <w:pStyle w:val="ListNumber"/>
      </w:pPr>
      <w:r>
        <w:t>State the original meaning.</w:t>
      </w:r>
    </w:p>
    <w:p>
      <w:pPr>
        <w:pStyle w:val="ListNumber"/>
      </w:pPr>
      <w:r>
        <w:t>Rewrite the application as a concrete act of obedience.</w:t>
      </w:r>
    </w:p>
    <w:p/>
    <w:p/>
    <w:p/>
    <w:p/>
    <w:p/>
    <w:p/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Worked Examples and Model Answers Workbook</dc:title>
  <dc:subject>Guided Inductive Bible Study System</dc:subject>
  <dc:creator>AI Bible Commentary</dc:creator>
  <cp:keywords>inductive Bible study, hermeneutics, templates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