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Whole Book Horizontal Chart Template</w:t>
      </w:r>
    </w:p>
    <w:p>
      <w:pPr>
        <w:jc w:val="center"/>
      </w:pPr>
      <w:r>
        <w:t>Map the whole book before studying one passage.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Basic Required Information</w:t>
      </w:r>
    </w:p>
    <w:p>
      <w:r>
        <w:t>Book</w:t>
      </w:r>
    </w:p>
    <w:p>
      <w:r>
        <w:t>____________________________________________________________________________________________________</w:t>
      </w:r>
    </w:p>
    <w:p>
      <w:r>
        <w:t>Author / speaker if known</w:t>
      </w:r>
    </w:p>
    <w:p>
      <w:r>
        <w:t>____________________________________________________________________________________________________</w:t>
      </w:r>
    </w:p>
    <w:p>
      <w:r>
        <w:t>Original audience</w:t>
      </w:r>
    </w:p>
    <w:p>
      <w:r>
        <w:t>____________________________________________________________________________________________________</w:t>
      </w:r>
    </w:p>
    <w:p>
      <w:r>
        <w:t>Historical setting</w:t>
      </w:r>
    </w:p>
    <w:p>
      <w:r>
        <w:t>____________________________________________________________________________________________________</w:t>
      </w:r>
    </w:p>
    <w:p>
      <w:r>
        <w:t>Main purpose</w:t>
      </w:r>
    </w:p>
    <w:p>
      <w:r>
        <w:t>____________________________________________________________________________________________________</w:t>
      </w:r>
    </w:p>
    <w:p>
      <w:r>
        <w:t>Major genre(s)</w:t>
      </w:r>
    </w:p>
    <w:p>
      <w:r>
        <w:t>____________________________________________________________________________________________________</w:t>
      </w:r>
    </w:p>
    <w:p>
      <w:r>
        <w:t>Repeated themes</w:t>
      </w:r>
    </w:p>
    <w:p>
      <w:r>
        <w:t>____________________________________________________________________________________________________</w:t>
      </w:r>
    </w:p>
    <w:p>
      <w:pPr>
        <w:pStyle w:val="Heading1"/>
      </w:pPr>
      <w:r>
        <w:t>Reading Cycles</w:t>
      </w:r>
    </w:p>
    <w:p>
      <w:pPr>
        <w:pStyle w:val="ListNumber"/>
      </w:pPr>
      <w:r>
        <w:t>First reading: read the whole book or major section in one sitting.</w:t>
      </w:r>
    </w:p>
    <w:p>
      <w:pPr>
        <w:pStyle w:val="ListNumber"/>
      </w:pPr>
      <w:r>
        <w:t>Second reading: mark major literary units and section summaries.</w:t>
      </w:r>
    </w:p>
    <w:p>
      <w:pPr>
        <w:pStyle w:val="ListNumber"/>
      </w:pPr>
      <w:r>
        <w:t>Third reading: add historical and audience clues from the book itself.</w:t>
      </w:r>
    </w:p>
    <w:p>
      <w:pPr>
        <w:pStyle w:val="ListNumber"/>
      </w:pPr>
      <w:r>
        <w:t>Fourth reading: confirm outline, themes, and questions before consulting helps.</w:t>
      </w:r>
    </w:p>
    <w:p>
      <w:pPr>
        <w:pStyle w:val="Heading1"/>
      </w:pPr>
      <w:r>
        <w:t>Horizontal Chart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Section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Verse Range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Section Title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Main Idea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Repeated Themes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Function in Book</w:t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