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Textual Variants Notes Template</w:t>
      </w:r>
    </w:p>
    <w:p>
      <w:pPr>
        <w:jc w:val="center"/>
      </w:pPr>
      <w:r>
        <w:t>Record only variants that plausibly affect meaning.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Variant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Passage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Variant issue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Affects meaning?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Evidence summary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Meaning impact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Conclusion wording</w:t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Text-Critical Unit Warning</w:t>
      </w:r>
    </w:p>
    <w:p>
      <w:pPr>
        <w:pStyle w:val="ListBullet"/>
      </w:pPr>
      <w:r>
        <w:t>Keep Mark 16:9-20 visible but qualified.</w:t>
      </w:r>
    </w:p>
    <w:p>
      <w:pPr>
        <w:pStyle w:val="ListBullet"/>
      </w:pPr>
      <w:r>
        <w:t>Keep John 7:53-8:11 visible but qualified.</w:t>
      </w:r>
    </w:p>
    <w:p>
      <w:pPr>
        <w:pStyle w:val="ListBullet"/>
      </w:pPr>
      <w:r>
        <w:t>Do not use a text-critical unit as a primary doctrinal proof-text without qualification.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