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Prophecy Study Template</w:t>
      </w:r>
    </w:p>
    <w:p>
      <w:pPr>
        <w:jc w:val="center"/>
      </w:pPr>
      <w:r>
        <w:rPr>
          <w:i/>
        </w:rPr>
        <w:t>Observe covenant lawsuit, warning, promise, near/far horizons, and prophetic imagery.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Unit ID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Reference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Book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Genre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Study mode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started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completed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Status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Main point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Application summary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</w:tbl>
    <w:p>
      <w:r>
        <w:t>Core rule: Bible text first. Literary unit first. Observation before interpretation. Interpretation before application. Commentaries last.</w:t>
      </w:r>
    </w:p>
    <w:p>
      <w:pPr>
        <w:pStyle w:val="Heading2"/>
      </w:pPr>
      <w:r>
        <w:t>Checklist</w:t>
      </w:r>
    </w:p>
    <w:p>
      <w:pPr>
        <w:pStyle w:val="ListBullet"/>
      </w:pPr>
      <w:r>
        <w:rPr>
          <w:b/>
        </w:rPr>
        <w:t xml:space="preserve">☐ </w:t>
      </w:r>
      <w:r>
        <w:t>Pray and prepare.</w:t>
      </w:r>
    </w:p>
    <w:p>
      <w:pPr>
        <w:pStyle w:val="ListBullet"/>
      </w:pPr>
      <w:r>
        <w:rPr>
          <w:b/>
        </w:rPr>
        <w:t xml:space="preserve">☐ </w:t>
      </w:r>
      <w:r>
        <w:t>Read the selected literary unit.</w:t>
      </w:r>
    </w:p>
    <w:p>
      <w:pPr>
        <w:pStyle w:val="ListBullet"/>
      </w:pPr>
      <w:r>
        <w:rPr>
          <w:b/>
        </w:rPr>
        <w:t xml:space="preserve">☐ </w:t>
      </w:r>
      <w:r>
        <w:t>Observe before interpreting.</w:t>
      </w:r>
    </w:p>
    <w:p>
      <w:pPr>
        <w:pStyle w:val="ListBullet"/>
      </w:pPr>
      <w:r>
        <w:rPr>
          <w:b/>
        </w:rPr>
        <w:t xml:space="preserve">☐ </w:t>
      </w:r>
      <w:r>
        <w:t>Answer meaning questions from context.</w:t>
      </w:r>
    </w:p>
    <w:p>
      <w:pPr>
        <w:pStyle w:val="ListBullet"/>
      </w:pPr>
      <w:r>
        <w:rPr>
          <w:b/>
        </w:rPr>
        <w:t xml:space="preserve">☐ </w:t>
      </w:r>
      <w:r>
        <w:t>Apply only after interpretation.</w:t>
      </w:r>
    </w:p>
    <w:p>
      <w:pPr>
        <w:pStyle w:val="ListBullet"/>
      </w:pPr>
      <w:r>
        <w:rPr>
          <w:b/>
        </w:rPr>
        <w:t xml:space="preserve">☐ </w:t>
      </w:r>
      <w:r>
        <w:t>Check genre rules.</w:t>
      </w:r>
    </w:p>
    <w:p>
      <w:pPr>
        <w:pStyle w:val="ListBullet"/>
      </w:pPr>
      <w:r>
        <w:rPr>
          <w:b/>
        </w:rPr>
        <w:t xml:space="preserve">☐ </w:t>
      </w:r>
      <w:r>
        <w:t>Build a vertical chart.</w:t>
      </w:r>
    </w:p>
    <w:p>
      <w:pPr>
        <w:pStyle w:val="ListBullet"/>
      </w:pPr>
      <w:r>
        <w:rPr>
          <w:b/>
        </w:rPr>
        <w:t xml:space="preserve">☐ </w:t>
      </w:r>
      <w:r>
        <w:t>Check cross-references.</w:t>
      </w:r>
    </w:p>
    <w:p>
      <w:pPr>
        <w:pStyle w:val="ListBullet"/>
      </w:pPr>
      <w:r>
        <w:rPr>
          <w:b/>
        </w:rPr>
        <w:t xml:space="preserve">☐ </w:t>
      </w:r>
      <w:r>
        <w:t>Consult commentaries last.</w:t>
      </w:r>
    </w:p>
    <w:p>
      <w:pPr>
        <w:pStyle w:val="Heading2"/>
      </w:pPr>
      <w:r>
        <w:t>Oracle Context</w:t>
      </w:r>
    </w:p>
    <w:p>
      <w:r>
        <w:t>Identify audience, accusation, warning, promise, and covenant frame.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Fulfilment Horizon</w:t>
      </w:r>
    </w:p>
    <w:p>
      <w:r>
        <w:t>Distinguish immediate, future, and canonical fulfilment where warranted.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Response</w:t>
      </w:r>
    </w:p>
    <w:p>
      <w:r>
        <w:t>Write the demanded repentance, hope, worship, or obedience.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Guided Inductive Bible Study — local study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