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Prophecy Fulfilment Patterns Worksheet</w:t>
      </w:r>
    </w:p>
    <w:p>
      <w:pPr>
        <w:jc w:val="center"/>
      </w:pPr>
      <w:r>
        <w:t>Handle prophecy through covenant setting, horizon, imagery, and later biblical use.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Prophecy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rPr>
          <w:tblHeader w:val="true"/>
          <w:cantSplit/>
        </w:trPr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Evidence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What covenant setting is addressed?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What accusation, warning, promise, or hope is stated?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Is the prophecy conditional or unconditional?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What is the immediate historical horizon?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Does later Scripture identify fulfilment?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What imagery is symbolic, poetic, or apocalyptic?</w:t>
            </w:r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</w:tbl>
    <w:p/>
    <w:p>
      <w:pPr>
        <w:pStyle w:val="Heading2"/>
      </w:pPr>
      <w:r>
        <w:t>Fulfilment Pattern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  <w:gridCol w:w="2078"/>
        <w:gridCol w:w="2078"/>
        <w:gridCol w:w="2078"/>
      </w:tblGrid>
      <w:tr>
        <w:trPr>
          <w:tblHeader w:val="true"/>
          <w:cantSplit/>
        </w:trPr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Passage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Immediate historical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Messianic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Typological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Already/not yet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Future eschatological</w:t>
            </w:r>
          </w:p>
        </w:tc>
        <w:tc>
          <w:tcPr>
            <w:tcW w:type="dxa" w:w="2078"/>
            <w:shd w:fill="E8DCC5"/>
            <w:vAlign w:val="center"/>
          </w:tcPr>
          <w:p>
            <w:r>
              <w:rPr>
                <w:b/>
              </w:rPr>
              <w:t>Caution</w:t>
            </w:r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  <w:tc>
          <w:tcPr>
            <w:tcW w:type="dxa" w:w="2078"/>
            <w:vAlign w:val="top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Fulfilment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A promise may have an immediate historical horizon and a later fulfilment in Christ, but the later fulfilment must be controlled by Scripture, not by speculation.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Quality standard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Name the horizon: immediate, future, messianic, typological, already/not-yet, final, or conditional. Explain the evidence.</w:t>
            </w:r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