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  <w:jc w:val="center"/>
      </w:pPr>
      <w:r>
        <w:t>Gospel Study Template</w:t>
      </w:r>
    </w:p>
    <w:p>
      <w:pPr>
        <w:jc w:val="center"/>
      </w:pPr>
      <w:r>
        <w:rPr>
          <w:i/>
        </w:rPr>
        <w:t>Observe Jesus’ words/actions, audience response, kingdom context, and Evangelist emphasis.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592"/>
        <w:gridCol w:w="2592"/>
        <w:gridCol w:w="2592"/>
        <w:gridCol w:w="2592"/>
      </w:tblGrid>
      <w:tr>
        <w:tc>
          <w:tcPr>
            <w:tcW w:type="dxa" w:w="2592"/>
            <w:shd w:fill="EAF4F8"/>
          </w:tcPr>
          <w:p>
            <w:r/>
            <w:r>
              <w:rPr>
                <w:b/>
                <w:sz w:val="18"/>
              </w:rPr>
              <w:t>Unit ID</w:t>
            </w:r>
          </w:p>
        </w:tc>
        <w:tc>
          <w:tcPr>
            <w:tcW w:type="dxa" w:w="2592"/>
          </w:tcPr>
          <w:p>
            <w:r/>
            <w:r>
              <w:rPr>
                <w:b w:val="0"/>
                <w:sz w:val="18"/>
              </w:rPr>
            </w:r>
          </w:p>
        </w:tc>
        <w:tc>
          <w:tcPr>
            <w:tcW w:type="dxa" w:w="2592"/>
            <w:shd w:fill="EAF4F8"/>
          </w:tcPr>
          <w:p>
            <w:r/>
            <w:r>
              <w:rPr>
                <w:b/>
                <w:sz w:val="18"/>
              </w:rPr>
              <w:t>Reference</w:t>
            </w:r>
          </w:p>
        </w:tc>
        <w:tc>
          <w:tcPr>
            <w:tcW w:type="dxa" w:w="2592"/>
          </w:tcPr>
          <w:p>
            <w:r/>
            <w:r>
              <w:rPr>
                <w:b w:val="0"/>
                <w:sz w:val="18"/>
              </w:rPr>
            </w:r>
          </w:p>
        </w:tc>
      </w:tr>
      <w:tr>
        <w:tc>
          <w:tcPr>
            <w:tcW w:type="dxa" w:w="2592"/>
            <w:shd w:fill="EAF4F8"/>
          </w:tcPr>
          <w:p>
            <w:r/>
            <w:r>
              <w:rPr>
                <w:b/>
                <w:sz w:val="18"/>
              </w:rPr>
              <w:t>Book</w:t>
            </w:r>
          </w:p>
        </w:tc>
        <w:tc>
          <w:tcPr>
            <w:tcW w:type="dxa" w:w="2592"/>
          </w:tcPr>
          <w:p>
            <w:r/>
            <w:r>
              <w:rPr>
                <w:b w:val="0"/>
                <w:sz w:val="18"/>
              </w:rPr>
            </w:r>
          </w:p>
        </w:tc>
        <w:tc>
          <w:tcPr>
            <w:tcW w:type="dxa" w:w="2592"/>
            <w:shd w:fill="EAF4F8"/>
          </w:tcPr>
          <w:p>
            <w:r/>
            <w:r>
              <w:rPr>
                <w:b/>
                <w:sz w:val="18"/>
              </w:rPr>
              <w:t>Genre</w:t>
            </w:r>
          </w:p>
        </w:tc>
        <w:tc>
          <w:tcPr>
            <w:tcW w:type="dxa" w:w="2592"/>
          </w:tcPr>
          <w:p>
            <w:r/>
            <w:r>
              <w:rPr>
                <w:b w:val="0"/>
                <w:sz w:val="18"/>
              </w:rPr>
            </w:r>
          </w:p>
        </w:tc>
      </w:tr>
      <w:tr>
        <w:tc>
          <w:tcPr>
            <w:tcW w:type="dxa" w:w="2592"/>
            <w:shd w:fill="EAF4F8"/>
          </w:tcPr>
          <w:p>
            <w:r/>
            <w:r>
              <w:rPr>
                <w:b/>
                <w:sz w:val="18"/>
              </w:rPr>
              <w:t>Study mode</w:t>
            </w:r>
          </w:p>
        </w:tc>
        <w:tc>
          <w:tcPr>
            <w:tcW w:type="dxa" w:w="2592"/>
          </w:tcPr>
          <w:p>
            <w:r/>
            <w:r>
              <w:rPr>
                <w:b w:val="0"/>
                <w:sz w:val="18"/>
              </w:rPr>
            </w:r>
          </w:p>
        </w:tc>
        <w:tc>
          <w:tcPr>
            <w:tcW w:type="dxa" w:w="2592"/>
            <w:shd w:fill="EAF4F8"/>
          </w:tcPr>
          <w:p>
            <w:r/>
            <w:r>
              <w:rPr>
                <w:b/>
                <w:sz w:val="18"/>
              </w:rPr>
              <w:t>Date started</w:t>
            </w:r>
          </w:p>
        </w:tc>
        <w:tc>
          <w:tcPr>
            <w:tcW w:type="dxa" w:w="2592"/>
          </w:tcPr>
          <w:p>
            <w:r/>
            <w:r>
              <w:rPr>
                <w:b w:val="0"/>
                <w:sz w:val="18"/>
              </w:rPr>
            </w:r>
          </w:p>
        </w:tc>
      </w:tr>
      <w:tr>
        <w:tc>
          <w:tcPr>
            <w:tcW w:type="dxa" w:w="2592"/>
            <w:shd w:fill="EAF4F8"/>
          </w:tcPr>
          <w:p>
            <w:r/>
            <w:r>
              <w:rPr>
                <w:b/>
                <w:sz w:val="18"/>
              </w:rPr>
              <w:t>Date completed</w:t>
            </w:r>
          </w:p>
        </w:tc>
        <w:tc>
          <w:tcPr>
            <w:tcW w:type="dxa" w:w="2592"/>
          </w:tcPr>
          <w:p>
            <w:r/>
            <w:r>
              <w:rPr>
                <w:b w:val="0"/>
                <w:sz w:val="18"/>
              </w:rPr>
            </w:r>
          </w:p>
        </w:tc>
        <w:tc>
          <w:tcPr>
            <w:tcW w:type="dxa" w:w="2592"/>
            <w:shd w:fill="EAF4F8"/>
          </w:tcPr>
          <w:p>
            <w:r/>
            <w:r>
              <w:rPr>
                <w:b/>
                <w:sz w:val="18"/>
              </w:rPr>
              <w:t>Status</w:t>
            </w:r>
          </w:p>
        </w:tc>
        <w:tc>
          <w:tcPr>
            <w:tcW w:type="dxa" w:w="2592"/>
          </w:tcPr>
          <w:p>
            <w:r/>
            <w:r>
              <w:rPr>
                <w:b w:val="0"/>
                <w:sz w:val="18"/>
              </w:rPr>
            </w:r>
          </w:p>
        </w:tc>
      </w:tr>
      <w:tr>
        <w:tc>
          <w:tcPr>
            <w:tcW w:type="dxa" w:w="2592"/>
            <w:shd w:fill="EAF4F8"/>
          </w:tcPr>
          <w:p>
            <w:r/>
            <w:r>
              <w:rPr>
                <w:b/>
                <w:sz w:val="18"/>
              </w:rPr>
              <w:t>Main point</w:t>
            </w:r>
          </w:p>
        </w:tc>
        <w:tc>
          <w:tcPr>
            <w:tcW w:type="dxa" w:w="2592"/>
          </w:tcPr>
          <w:p>
            <w:r/>
            <w:r>
              <w:rPr>
                <w:b w:val="0"/>
                <w:sz w:val="18"/>
              </w:rPr>
            </w:r>
          </w:p>
        </w:tc>
        <w:tc>
          <w:tcPr>
            <w:tcW w:type="dxa" w:w="2592"/>
            <w:shd w:fill="EAF4F8"/>
          </w:tcPr>
          <w:p>
            <w:r/>
            <w:r>
              <w:rPr>
                <w:b/>
                <w:sz w:val="18"/>
              </w:rPr>
              <w:t>Application summary</w:t>
            </w:r>
          </w:p>
        </w:tc>
        <w:tc>
          <w:tcPr>
            <w:tcW w:type="dxa" w:w="2592"/>
          </w:tcPr>
          <w:p>
            <w:r/>
            <w:r>
              <w:rPr>
                <w:b w:val="0"/>
                <w:sz w:val="18"/>
              </w:rPr>
            </w:r>
          </w:p>
        </w:tc>
      </w:tr>
    </w:tbl>
    <w:p>
      <w:r>
        <w:t>Core rule: Bible text first. Literary unit first. Observation before interpretation. Interpretation before application. Commentaries last.</w:t>
      </w:r>
    </w:p>
    <w:p>
      <w:pPr>
        <w:pStyle w:val="Heading2"/>
      </w:pPr>
      <w:r>
        <w:t>Checklist</w:t>
      </w:r>
    </w:p>
    <w:p>
      <w:pPr>
        <w:pStyle w:val="ListBullet"/>
      </w:pPr>
      <w:r>
        <w:rPr>
          <w:b/>
        </w:rPr>
        <w:t xml:space="preserve">☐ </w:t>
      </w:r>
      <w:r>
        <w:t>Pray and prepare.</w:t>
      </w:r>
    </w:p>
    <w:p>
      <w:pPr>
        <w:pStyle w:val="ListBullet"/>
      </w:pPr>
      <w:r>
        <w:rPr>
          <w:b/>
        </w:rPr>
        <w:t xml:space="preserve">☐ </w:t>
      </w:r>
      <w:r>
        <w:t>Read the selected literary unit.</w:t>
      </w:r>
    </w:p>
    <w:p>
      <w:pPr>
        <w:pStyle w:val="ListBullet"/>
      </w:pPr>
      <w:r>
        <w:rPr>
          <w:b/>
        </w:rPr>
        <w:t xml:space="preserve">☐ </w:t>
      </w:r>
      <w:r>
        <w:t>Observe before interpreting.</w:t>
      </w:r>
    </w:p>
    <w:p>
      <w:pPr>
        <w:pStyle w:val="ListBullet"/>
      </w:pPr>
      <w:r>
        <w:rPr>
          <w:b/>
        </w:rPr>
        <w:t xml:space="preserve">☐ </w:t>
      </w:r>
      <w:r>
        <w:t>Answer meaning questions from context.</w:t>
      </w:r>
    </w:p>
    <w:p>
      <w:pPr>
        <w:pStyle w:val="ListBullet"/>
      </w:pPr>
      <w:r>
        <w:rPr>
          <w:b/>
        </w:rPr>
        <w:t xml:space="preserve">☐ </w:t>
      </w:r>
      <w:r>
        <w:t>Apply only after interpretation.</w:t>
      </w:r>
    </w:p>
    <w:p>
      <w:pPr>
        <w:pStyle w:val="ListBullet"/>
      </w:pPr>
      <w:r>
        <w:rPr>
          <w:b/>
        </w:rPr>
        <w:t xml:space="preserve">☐ </w:t>
      </w:r>
      <w:r>
        <w:t>Check genre rules.</w:t>
      </w:r>
    </w:p>
    <w:p>
      <w:pPr>
        <w:pStyle w:val="ListBullet"/>
      </w:pPr>
      <w:r>
        <w:rPr>
          <w:b/>
        </w:rPr>
        <w:t xml:space="preserve">☐ </w:t>
      </w:r>
      <w:r>
        <w:t>Build a vertical chart.</w:t>
      </w:r>
    </w:p>
    <w:p>
      <w:pPr>
        <w:pStyle w:val="ListBullet"/>
      </w:pPr>
      <w:r>
        <w:rPr>
          <w:b/>
        </w:rPr>
        <w:t xml:space="preserve">☐ </w:t>
      </w:r>
      <w:r>
        <w:t>Check cross-references.</w:t>
      </w:r>
    </w:p>
    <w:p>
      <w:pPr>
        <w:pStyle w:val="ListBullet"/>
      </w:pPr>
      <w:r>
        <w:rPr>
          <w:b/>
        </w:rPr>
        <w:t xml:space="preserve">☐ </w:t>
      </w:r>
      <w:r>
        <w:t>Consult commentaries last.</w:t>
      </w:r>
    </w:p>
    <w:p>
      <w:pPr>
        <w:pStyle w:val="Heading2"/>
      </w:pPr>
      <w:r>
        <w:t>Scene and Audience</w:t>
      </w:r>
    </w:p>
    <w:p>
      <w:r>
        <w:t>Identify setting, speakers, hearers, conflict, miracle, teaching, and response.</w:t>
      </w:r>
    </w:p>
    <w:p>
      <w:pPr>
        <w:pStyle w:val="Heading2"/>
      </w:pPr>
      <w:r>
        <w:t>Write your notes here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368"/>
      </w:tblGrid>
      <w:tr>
        <w:trPr>
          <w:trHeight w:val="403"/>
        </w:trPr>
        <w:tc>
          <w:tcPr>
            <w:tcW w:type="dxa" w:w="10368"/>
            <w:vAlign w:val="top"/>
          </w:tcPr>
          <w:p>
            <w:r/>
          </w:p>
        </w:tc>
      </w:tr>
      <w:tr>
        <w:trPr>
          <w:trHeight w:val="403"/>
        </w:trPr>
        <w:tc>
          <w:tcPr>
            <w:tcW w:type="dxa" w:w="10368"/>
            <w:vAlign w:val="top"/>
          </w:tcPr>
          <w:p>
            <w:r/>
          </w:p>
        </w:tc>
      </w:tr>
      <w:tr>
        <w:trPr>
          <w:trHeight w:val="403"/>
        </w:trPr>
        <w:tc>
          <w:tcPr>
            <w:tcW w:type="dxa" w:w="10368"/>
            <w:vAlign w:val="top"/>
          </w:tcPr>
          <w:p>
            <w:r/>
          </w:p>
        </w:tc>
      </w:tr>
      <w:tr>
        <w:trPr>
          <w:trHeight w:val="403"/>
        </w:trPr>
        <w:tc>
          <w:tcPr>
            <w:tcW w:type="dxa" w:w="10368"/>
            <w:vAlign w:val="top"/>
          </w:tcPr>
          <w:p>
            <w:r/>
          </w:p>
        </w:tc>
      </w:tr>
    </w:tbl>
    <w:p>
      <w:pPr>
        <w:pStyle w:val="Heading2"/>
      </w:pPr>
      <w:r>
        <w:t>Christological Meaning</w:t>
      </w:r>
    </w:p>
    <w:p>
      <w:r>
        <w:t>State what the unit reveals about Jesus and the kingdom.</w:t>
      </w:r>
    </w:p>
    <w:p>
      <w:pPr>
        <w:pStyle w:val="Heading2"/>
      </w:pPr>
      <w:r>
        <w:t>Write your notes here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368"/>
      </w:tblGrid>
      <w:tr>
        <w:trPr>
          <w:trHeight w:val="403"/>
        </w:trPr>
        <w:tc>
          <w:tcPr>
            <w:tcW w:type="dxa" w:w="10368"/>
            <w:vAlign w:val="top"/>
          </w:tcPr>
          <w:p>
            <w:r/>
          </w:p>
        </w:tc>
      </w:tr>
      <w:tr>
        <w:trPr>
          <w:trHeight w:val="403"/>
        </w:trPr>
        <w:tc>
          <w:tcPr>
            <w:tcW w:type="dxa" w:w="10368"/>
            <w:vAlign w:val="top"/>
          </w:tcPr>
          <w:p>
            <w:r/>
          </w:p>
        </w:tc>
      </w:tr>
      <w:tr>
        <w:trPr>
          <w:trHeight w:val="403"/>
        </w:trPr>
        <w:tc>
          <w:tcPr>
            <w:tcW w:type="dxa" w:w="10368"/>
            <w:vAlign w:val="top"/>
          </w:tcPr>
          <w:p>
            <w:r/>
          </w:p>
        </w:tc>
      </w:tr>
      <w:tr>
        <w:trPr>
          <w:trHeight w:val="403"/>
        </w:trPr>
        <w:tc>
          <w:tcPr>
            <w:tcW w:type="dxa" w:w="10368"/>
            <w:vAlign w:val="top"/>
          </w:tcPr>
          <w:p>
            <w:r/>
          </w:p>
        </w:tc>
      </w:tr>
    </w:tbl>
    <w:p>
      <w:pPr>
        <w:pStyle w:val="Heading2"/>
      </w:pPr>
      <w:r>
        <w:t>Discipleship Response</w:t>
      </w:r>
    </w:p>
    <w:p>
      <w:r>
        <w:t>Write how the unit calls for faith, repentance, obedience, or witness.</w:t>
      </w:r>
    </w:p>
    <w:p>
      <w:pPr>
        <w:pStyle w:val="Heading2"/>
      </w:pPr>
      <w:r>
        <w:t>Write your notes here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368"/>
      </w:tblGrid>
      <w:tr>
        <w:trPr>
          <w:trHeight w:val="403"/>
        </w:trPr>
        <w:tc>
          <w:tcPr>
            <w:tcW w:type="dxa" w:w="10368"/>
            <w:vAlign w:val="top"/>
          </w:tcPr>
          <w:p>
            <w:r/>
          </w:p>
        </w:tc>
      </w:tr>
      <w:tr>
        <w:trPr>
          <w:trHeight w:val="403"/>
        </w:trPr>
        <w:tc>
          <w:tcPr>
            <w:tcW w:type="dxa" w:w="10368"/>
            <w:vAlign w:val="top"/>
          </w:tcPr>
          <w:p>
            <w:r/>
          </w:p>
        </w:tc>
      </w:tr>
      <w:tr>
        <w:trPr>
          <w:trHeight w:val="403"/>
        </w:trPr>
        <w:tc>
          <w:tcPr>
            <w:tcW w:type="dxa" w:w="10368"/>
            <w:vAlign w:val="top"/>
          </w:tcPr>
          <w:p>
            <w:r/>
          </w:p>
        </w:tc>
      </w:tr>
      <w:tr>
        <w:trPr>
          <w:trHeight w:val="403"/>
        </w:trPr>
        <w:tc>
          <w:tcPr>
            <w:tcW w:type="dxa" w:w="10368"/>
            <w:vAlign w:val="top"/>
          </w:tcPr>
          <w:p>
            <w:r/>
          </w:p>
        </w:tc>
      </w:tr>
    </w:tbl>
    <w:sectPr w:rsidR="00FC693F" w:rsidRPr="0006063C" w:rsidSect="00034616">
      <w:footerReference w:type="default" r:id="rId9"/>
      <w:pgSz w:w="12240" w:h="15840"/>
      <w:pgMar w:top="792" w:right="936" w:bottom="792" w:left="93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t>Guided Inductive Bible Study — local study template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/>
      <w:b/>
      <w:bCs/>
      <w:color w:val="365F91" w:themeColor="accent1" w:themeShade="BF"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