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Epistle Study Template</w:t>
      </w:r>
    </w:p>
    <w:p>
      <w:pPr>
        <w:jc w:val="center"/>
      </w:pPr>
      <w:r>
        <w:rPr>
          <w:i/>
        </w:rPr>
        <w:t>Observe argument flow, doctrine, commands, indicatives, imperatives, and connectors.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Argument Flow</w:t>
      </w:r>
    </w:p>
    <w:p>
      <w:r>
        <w:t>Trace therefore, for, because, so that, but, if, and command/reason structure.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Doctrine and Exhortation</w:t>
      </w:r>
    </w:p>
    <w:p>
      <w:r>
        <w:t>Distinguish what is stated as truth and what is commanded as response.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Church Application</w:t>
      </w:r>
    </w:p>
    <w:p>
      <w:r>
        <w:t>Apply the passage to worship, ethics, mission, and church order.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