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4"/>
        </w:rPr>
        <w:t>Covenant Context Worksheet</w:t>
      </w:r>
    </w:p>
    <w:p>
      <w:pPr>
        <w:jc w:val="center"/>
      </w:pPr>
      <w:r>
        <w:t>Conner and Malmin nine-covenant framework integrated into inductive study.</w:t>
      </w:r>
    </w:p>
    <w:p>
      <w:r>
        <w:t>Use this template inside the Guided Inductive Bible Study workflow. Complete only the fields that the passage actually requires; write "None observed" where a category does not apply.</w:t>
      </w:r>
    </w:p>
    <w:p>
      <w:pPr>
        <w:pStyle w:val="Heading2"/>
      </w:pPr>
      <w:r>
        <w:t>Covenant Principle Questions</w:t>
      </w:r>
    </w:p>
    <w:p>
      <w:pPr>
        <w:pStyle w:val="ListBullet"/>
      </w:pPr>
      <w:r>
        <w:t>Which covenant or covenants are involved?</w:t>
      </w:r>
    </w:p>
    <w:p>
      <w:pPr>
        <w:pStyle w:val="ListBullet"/>
      </w:pPr>
      <w:r>
        <w:t>What words/promises, blood, and seal/sign appear?</w:t>
      </w:r>
    </w:p>
    <w:p>
      <w:pPr>
        <w:pStyle w:val="ListBullet"/>
      </w:pPr>
      <w:r>
        <w:t>Is the covenant irrevocable or conditional?</w:t>
      </w:r>
    </w:p>
    <w:p>
      <w:pPr>
        <w:pStyle w:val="ListBullet"/>
      </w:pPr>
      <w:r>
        <w:t>How does the New Covenant control Christian application?</w:t>
      </w:r>
    </w:p>
    <w:p>
      <w:pPr>
        <w:pStyle w:val="ListBullet"/>
      </w:pPr>
      <w:r>
        <w:t>What must not be directly transferred without fulfilment and application work?</w:t>
      </w:r>
    </w:p>
    <w:p>
      <w:pPr>
        <w:pStyle w:val="Heading2"/>
      </w:pPr>
      <w:r>
        <w:t>Nine-Covenant Reference Table</w:t>
      </w:r>
    </w:p>
    <w:tbl>
      <w:tblPr>
        <w:tblStyle w:val="TableGrid"/>
        <w:tblW w:type="auto" w:w="0"/>
        <w:jc w:val="center"/>
        <w:tblLook w:firstColumn="1" w:firstRow="1" w:lastColumn="0" w:lastRow="0" w:noHBand="0" w:noVBand="1" w:val="04A0"/>
      </w:tblPr>
      <w:tblGrid>
        <w:gridCol w:w="2424"/>
        <w:gridCol w:w="2424"/>
        <w:gridCol w:w="2424"/>
        <w:gridCol w:w="2424"/>
        <w:gridCol w:w="2424"/>
        <w:gridCol w:w="2424"/>
      </w:tblGrid>
      <w:tr>
        <w:trPr>
          <w:tblHeader w:val="true"/>
          <w:cantSplit/>
        </w:trPr>
        <w:tc>
          <w:tcPr>
            <w:tcW w:type="dxa" w:w="2424"/>
            <w:shd w:fill="E8DCC5"/>
            <w:vAlign w:val="center"/>
          </w:tcPr>
          <w:p>
            <w:r>
              <w:rPr>
                <w:b/>
              </w:rPr>
              <w:t>Covenant</w:t>
            </w:r>
          </w:p>
        </w:tc>
        <w:tc>
          <w:tcPr>
            <w:tcW w:type="dxa" w:w="2424"/>
            <w:shd w:fill="E8DCC5"/>
            <w:vAlign w:val="center"/>
          </w:tcPr>
          <w:p>
            <w:r>
              <w:rPr>
                <w:b/>
              </w:rPr>
              <w:t>Key passages</w:t>
            </w:r>
          </w:p>
        </w:tc>
        <w:tc>
          <w:tcPr>
            <w:tcW w:type="dxa" w:w="2424"/>
            <w:shd w:fill="E8DCC5"/>
            <w:vAlign w:val="center"/>
          </w:tcPr>
          <w:p>
            <w:r>
              <w:rPr>
                <w:b/>
              </w:rPr>
              <w:t>Words/promises</w:t>
            </w:r>
          </w:p>
        </w:tc>
        <w:tc>
          <w:tcPr>
            <w:tcW w:type="dxa" w:w="2424"/>
            <w:shd w:fill="E8DCC5"/>
            <w:vAlign w:val="center"/>
          </w:tcPr>
          <w:p>
            <w:r>
              <w:rPr>
                <w:b/>
              </w:rPr>
              <w:t>Blood</w:t>
            </w:r>
          </w:p>
        </w:tc>
        <w:tc>
          <w:tcPr>
            <w:tcW w:type="dxa" w:w="2424"/>
            <w:shd w:fill="E8DCC5"/>
            <w:vAlign w:val="center"/>
          </w:tcPr>
          <w:p>
            <w:r>
              <w:rPr>
                <w:b/>
              </w:rPr>
              <w:t>Seal/sign</w:t>
            </w:r>
          </w:p>
        </w:tc>
        <w:tc>
          <w:tcPr>
            <w:tcW w:type="dxa" w:w="2424"/>
            <w:shd w:fill="E8DCC5"/>
            <w:vAlign w:val="center"/>
          </w:tcPr>
          <w:p>
            <w:r>
              <w:rPr>
                <w:b/>
              </w:rPr>
              <w:t>Kind</w:t>
            </w:r>
          </w:p>
        </w:tc>
      </w:tr>
      <w:tr>
        <w:trPr>
          <w:cantSplit/>
        </w:trPr>
        <w:tc>
          <w:tcPr>
            <w:tcW w:type="dxa" w:w="2424"/>
            <w:vAlign w:val="top"/>
          </w:tcPr>
          <w:p>
            <w:r>
              <w:t>Everlasting Covenant</w:t>
            </w:r>
          </w:p>
        </w:tc>
        <w:tc>
          <w:tcPr>
            <w:tcW w:type="dxa" w:w="2424"/>
            <w:vAlign w:val="top"/>
          </w:tcPr>
          <w:p>
            <w:r>
              <w:t>Hebrews 13:20-21; Titus 1:2; Ephesians 1:4</w:t>
            </w:r>
          </w:p>
        </w:tc>
        <w:tc>
          <w:tcPr>
            <w:tcW w:type="dxa" w:w="2424"/>
            <w:vAlign w:val="top"/>
          </w:tcPr>
          <w:p>
            <w:r>
              <w:t>God's eternal redemptive purpose in Christ before the world began.</w:t>
            </w:r>
          </w:p>
        </w:tc>
        <w:tc>
          <w:tcPr>
            <w:tcW w:type="dxa" w:w="2424"/>
            <w:vAlign w:val="top"/>
          </w:tcPr>
          <w:p>
            <w:r>
              <w:t>The blood of Christ, the Lamb appointed before the foundation of the world.</w:t>
            </w:r>
          </w:p>
        </w:tc>
        <w:tc>
          <w:tcPr>
            <w:tcW w:type="dxa" w:w="2424"/>
            <w:vAlign w:val="top"/>
          </w:tcPr>
          <w:p>
            <w:r>
              <w:t>Eternal life and final conformity to Christ.</w:t>
            </w:r>
          </w:p>
        </w:tc>
        <w:tc>
          <w:tcPr>
            <w:tcW w:type="dxa" w:w="2424"/>
            <w:vAlign w:val="top"/>
          </w:tcPr>
          <w:p>
            <w:r>
              <w:t>Irrevocable</w:t>
            </w:r>
          </w:p>
        </w:tc>
      </w:tr>
      <w:tr>
        <w:trPr>
          <w:cantSplit/>
        </w:trPr>
        <w:tc>
          <w:tcPr>
            <w:tcW w:type="dxa" w:w="2424"/>
            <w:vAlign w:val="top"/>
          </w:tcPr>
          <w:p>
            <w:r>
              <w:t>Edenic Covenant</w:t>
            </w:r>
          </w:p>
        </w:tc>
        <w:tc>
          <w:tcPr>
            <w:tcW w:type="dxa" w:w="2424"/>
            <w:vAlign w:val="top"/>
          </w:tcPr>
          <w:p>
            <w:r>
              <w:t>Genesis 1:26-30; 2:16-17</w:t>
            </w:r>
          </w:p>
        </w:tc>
        <w:tc>
          <w:tcPr>
            <w:tcW w:type="dxa" w:w="2424"/>
            <w:vAlign w:val="top"/>
          </w:tcPr>
          <w:p>
            <w:r>
              <w:t>Humanity created in God's image, given dominion and a command before sin entered.</w:t>
            </w:r>
          </w:p>
        </w:tc>
        <w:tc>
          <w:tcPr>
            <w:tcW w:type="dxa" w:w="2424"/>
            <w:vAlign w:val="top"/>
          </w:tcPr>
          <w:p>
            <w:r>
              <w:t>Life before the fall, with later typological connection to the Last Adam.</w:t>
            </w:r>
          </w:p>
        </w:tc>
        <w:tc>
          <w:tcPr>
            <w:tcW w:type="dxa" w:w="2424"/>
            <w:vAlign w:val="top"/>
          </w:tcPr>
          <w:p>
            <w:r>
              <w:t>The tree of life.</w:t>
            </w:r>
          </w:p>
        </w:tc>
        <w:tc>
          <w:tcPr>
            <w:tcW w:type="dxa" w:w="2424"/>
            <w:vAlign w:val="top"/>
          </w:tcPr>
          <w:p>
            <w:r>
              <w:t>Revocable / conditional</w:t>
            </w:r>
          </w:p>
        </w:tc>
      </w:tr>
      <w:tr>
        <w:trPr>
          <w:cantSplit/>
        </w:trPr>
        <w:tc>
          <w:tcPr>
            <w:tcW w:type="dxa" w:w="2424"/>
            <w:vAlign w:val="top"/>
          </w:tcPr>
          <w:p>
            <w:r>
              <w:t>Adamic Covenant</w:t>
            </w:r>
          </w:p>
        </w:tc>
        <w:tc>
          <w:tcPr>
            <w:tcW w:type="dxa" w:w="2424"/>
            <w:vAlign w:val="top"/>
          </w:tcPr>
          <w:p>
            <w:r>
              <w:t>Genesis 3:1-24</w:t>
            </w:r>
          </w:p>
        </w:tc>
        <w:tc>
          <w:tcPr>
            <w:tcW w:type="dxa" w:w="2424"/>
            <w:vAlign w:val="top"/>
          </w:tcPr>
          <w:p>
            <w:r>
              <w:t>Grace after the fall, including the promise that the woman's seed will crush the serpent.</w:t>
            </w:r>
          </w:p>
        </w:tc>
        <w:tc>
          <w:tcPr>
            <w:tcW w:type="dxa" w:w="2424"/>
            <w:vAlign w:val="top"/>
          </w:tcPr>
          <w:p>
            <w:r>
              <w:t>Substitutionary death signalled by God's provision after sin.</w:t>
            </w:r>
          </w:p>
        </w:tc>
        <w:tc>
          <w:tcPr>
            <w:tcW w:type="dxa" w:w="2424"/>
            <w:vAlign w:val="top"/>
          </w:tcPr>
          <w:p>
            <w:r>
              <w:t>Coats of skin as God-provided covering.</w:t>
            </w:r>
          </w:p>
        </w:tc>
        <w:tc>
          <w:tcPr>
            <w:tcW w:type="dxa" w:w="2424"/>
            <w:vAlign w:val="top"/>
          </w:tcPr>
          <w:p>
            <w:r>
              <w:t>Irrevocable in redemptive promise</w:t>
            </w:r>
          </w:p>
        </w:tc>
      </w:tr>
      <w:tr>
        <w:trPr>
          <w:cantSplit/>
        </w:trPr>
        <w:tc>
          <w:tcPr>
            <w:tcW w:type="dxa" w:w="2424"/>
            <w:vAlign w:val="top"/>
          </w:tcPr>
          <w:p>
            <w:r>
              <w:t>Noahic Covenant</w:t>
            </w:r>
          </w:p>
        </w:tc>
        <w:tc>
          <w:tcPr>
            <w:tcW w:type="dxa" w:w="2424"/>
            <w:vAlign w:val="top"/>
          </w:tcPr>
          <w:p>
            <w:r>
              <w:t>Genesis 8-9</w:t>
            </w:r>
          </w:p>
        </w:tc>
        <w:tc>
          <w:tcPr>
            <w:tcW w:type="dxa" w:w="2424"/>
            <w:vAlign w:val="top"/>
          </w:tcPr>
          <w:p>
            <w:r>
              <w:t>God's promise not to destroy the earth again by flood, with creation-order commands renewed.</w:t>
            </w:r>
          </w:p>
        </w:tc>
        <w:tc>
          <w:tcPr>
            <w:tcW w:type="dxa" w:w="2424"/>
            <w:vAlign w:val="top"/>
          </w:tcPr>
          <w:p>
            <w:r>
              <w:t>Noah's sacrifices after the flood.</w:t>
            </w:r>
          </w:p>
        </w:tc>
        <w:tc>
          <w:tcPr>
            <w:tcW w:type="dxa" w:w="2424"/>
            <w:vAlign w:val="top"/>
          </w:tcPr>
          <w:p>
            <w:r>
              <w:t>The rainbow.</w:t>
            </w:r>
          </w:p>
        </w:tc>
        <w:tc>
          <w:tcPr>
            <w:tcW w:type="dxa" w:w="2424"/>
            <w:vAlign w:val="top"/>
          </w:tcPr>
          <w:p>
            <w:r>
              <w:t>Irrevocable</w:t>
            </w:r>
          </w:p>
        </w:tc>
      </w:tr>
      <w:tr>
        <w:trPr>
          <w:cantSplit/>
        </w:trPr>
        <w:tc>
          <w:tcPr>
            <w:tcW w:type="dxa" w:w="2424"/>
            <w:vAlign w:val="top"/>
          </w:tcPr>
          <w:p>
            <w:r>
              <w:t>Abrahamic Covenant</w:t>
            </w:r>
          </w:p>
        </w:tc>
        <w:tc>
          <w:tcPr>
            <w:tcW w:type="dxa" w:w="2424"/>
            <w:vAlign w:val="top"/>
          </w:tcPr>
          <w:p>
            <w:r>
              <w:t>Genesis 12; 15; 17; 22; Galatians 3</w:t>
            </w:r>
          </w:p>
        </w:tc>
        <w:tc>
          <w:tcPr>
            <w:tcW w:type="dxa" w:w="2424"/>
            <w:vAlign w:val="top"/>
          </w:tcPr>
          <w:p>
            <w:r>
              <w:t>Land, seed, blessing, and ultimately blessing to the nations through Christ.</w:t>
            </w:r>
          </w:p>
        </w:tc>
        <w:tc>
          <w:tcPr>
            <w:tcW w:type="dxa" w:w="2424"/>
            <w:vAlign w:val="top"/>
          </w:tcPr>
          <w:p>
            <w:r>
              <w:t>The divided sacrifices in Genesis 15.</w:t>
            </w:r>
          </w:p>
        </w:tc>
        <w:tc>
          <w:tcPr>
            <w:tcW w:type="dxa" w:w="2424"/>
            <w:vAlign w:val="top"/>
          </w:tcPr>
          <w:p>
            <w:r>
              <w:t>Circumcision, pointing beyond flesh to heart-circumcision.</w:t>
            </w:r>
          </w:p>
        </w:tc>
        <w:tc>
          <w:tcPr>
            <w:tcW w:type="dxa" w:w="2424"/>
            <w:vAlign w:val="top"/>
          </w:tcPr>
          <w:p>
            <w:r>
              <w:t>Irrevocable</w:t>
            </w:r>
          </w:p>
        </w:tc>
      </w:tr>
      <w:tr>
        <w:trPr>
          <w:cantSplit/>
        </w:trPr>
        <w:tc>
          <w:tcPr>
            <w:tcW w:type="dxa" w:w="2424"/>
            <w:vAlign w:val="top"/>
          </w:tcPr>
          <w:p>
            <w:r>
              <w:t>Mosaic Covenant</w:t>
            </w:r>
          </w:p>
        </w:tc>
        <w:tc>
          <w:tcPr>
            <w:tcW w:type="dxa" w:w="2424"/>
            <w:vAlign w:val="top"/>
          </w:tcPr>
          <w:p>
            <w:r>
              <w:t>Exodus 20-40; Exodus 24; Deuteronomy 5</w:t>
            </w:r>
          </w:p>
        </w:tc>
        <w:tc>
          <w:tcPr>
            <w:tcW w:type="dxa" w:w="2424"/>
            <w:vAlign w:val="top"/>
          </w:tcPr>
          <w:p>
            <w:r>
              <w:t>Israel's law covenant, summarized in the Ten Commandments and expanded in civil, ceremonial, and national life.</w:t>
            </w:r>
          </w:p>
        </w:tc>
        <w:tc>
          <w:tcPr>
            <w:tcW w:type="dxa" w:w="2424"/>
            <w:vAlign w:val="top"/>
          </w:tcPr>
          <w:p>
            <w:r>
              <w:t>Sacrificial blood sprinkled on the people and the book of the covenant.</w:t>
            </w:r>
          </w:p>
        </w:tc>
        <w:tc>
          <w:tcPr>
            <w:tcW w:type="dxa" w:w="2424"/>
            <w:vAlign w:val="top"/>
          </w:tcPr>
          <w:p>
            <w:r>
              <w:t>The Sabbath as the distinctive covenant sign for Israel under Moses.</w:t>
            </w:r>
          </w:p>
        </w:tc>
        <w:tc>
          <w:tcPr>
            <w:tcW w:type="dxa" w:w="2424"/>
            <w:vAlign w:val="top"/>
          </w:tcPr>
          <w:p>
            <w:r>
              <w:t>Revocable / conditional</w:t>
            </w:r>
          </w:p>
        </w:tc>
      </w:tr>
      <w:tr>
        <w:trPr>
          <w:cantSplit/>
        </w:trPr>
        <w:tc>
          <w:tcPr>
            <w:tcW w:type="dxa" w:w="2424"/>
            <w:vAlign w:val="top"/>
          </w:tcPr>
          <w:p>
            <w:r>
              <w:t>Palestinian / Land Covenant</w:t>
            </w:r>
          </w:p>
        </w:tc>
        <w:tc>
          <w:tcPr>
            <w:tcW w:type="dxa" w:w="2424"/>
            <w:vAlign w:val="top"/>
          </w:tcPr>
          <w:p>
            <w:r>
              <w:t>Deuteronomy 27-30</w:t>
            </w:r>
          </w:p>
        </w:tc>
        <w:tc>
          <w:tcPr>
            <w:tcW w:type="dxa" w:w="2424"/>
            <w:vAlign w:val="top"/>
          </w:tcPr>
          <w:p>
            <w:r>
              <w:t>Blessing or curse in the promised land, tied to Israel's covenant obedience or disobedience.</w:t>
            </w:r>
          </w:p>
        </w:tc>
        <w:tc>
          <w:tcPr>
            <w:tcW w:type="dxa" w:w="2424"/>
            <w:vAlign w:val="top"/>
          </w:tcPr>
          <w:p>
            <w:r>
              <w:t>Sacrifices connected with entering and consecrating the land.</w:t>
            </w:r>
          </w:p>
        </w:tc>
        <w:tc>
          <w:tcPr>
            <w:tcW w:type="dxa" w:w="2424"/>
            <w:vAlign w:val="top"/>
          </w:tcPr>
          <w:p>
            <w:r>
              <w:t>Fruitful rains and land blessing.</w:t>
            </w:r>
          </w:p>
        </w:tc>
        <w:tc>
          <w:tcPr>
            <w:tcW w:type="dxa" w:w="2424"/>
            <w:vAlign w:val="top"/>
          </w:tcPr>
          <w:p>
            <w:r>
              <w:t>Revocable / conditional</w:t>
            </w:r>
          </w:p>
        </w:tc>
      </w:tr>
      <w:tr>
        <w:trPr>
          <w:cantSplit/>
        </w:trPr>
        <w:tc>
          <w:tcPr>
            <w:tcW w:type="dxa" w:w="2424"/>
            <w:vAlign w:val="top"/>
          </w:tcPr>
          <w:p>
            <w:r>
              <w:t>Davidic Covenant</w:t>
            </w:r>
          </w:p>
        </w:tc>
        <w:tc>
          <w:tcPr>
            <w:tcW w:type="dxa" w:w="2424"/>
            <w:vAlign w:val="top"/>
          </w:tcPr>
          <w:p>
            <w:r>
              <w:t>2 Samuel 7; Psalm 89; Luke 1:32-33</w:t>
            </w:r>
          </w:p>
        </w:tc>
        <w:tc>
          <w:tcPr>
            <w:tcW w:type="dxa" w:w="2424"/>
            <w:vAlign w:val="top"/>
          </w:tcPr>
          <w:p>
            <w:r>
              <w:t>A promised seed, house, throne, and kingdom fulfilled in the Messiah, the Son of David.</w:t>
            </w:r>
          </w:p>
        </w:tc>
        <w:tc>
          <w:tcPr>
            <w:tcW w:type="dxa" w:w="2424"/>
            <w:vAlign w:val="top"/>
          </w:tcPr>
          <w:p>
            <w:r>
              <w:t>Sacrificial worship connected with the ark and Davidic kingdom context.</w:t>
            </w:r>
          </w:p>
        </w:tc>
        <w:tc>
          <w:tcPr>
            <w:tcW w:type="dxa" w:w="2424"/>
            <w:vAlign w:val="top"/>
          </w:tcPr>
          <w:p>
            <w:r>
              <w:t>Sun and moon imagery in Psalm 89 as testimony to God's enduring promise.</w:t>
            </w:r>
          </w:p>
        </w:tc>
        <w:tc>
          <w:tcPr>
            <w:tcW w:type="dxa" w:w="2424"/>
            <w:vAlign w:val="top"/>
          </w:tcPr>
          <w:p>
            <w:r>
              <w:t>Irrevocable</w:t>
            </w:r>
          </w:p>
        </w:tc>
      </w:tr>
      <w:tr>
        <w:trPr>
          <w:cantSplit/>
        </w:trPr>
        <w:tc>
          <w:tcPr>
            <w:tcW w:type="dxa" w:w="2424"/>
            <w:vAlign w:val="top"/>
          </w:tcPr>
          <w:p>
            <w:r>
              <w:t>New Covenant</w:t>
            </w:r>
          </w:p>
        </w:tc>
        <w:tc>
          <w:tcPr>
            <w:tcW w:type="dxa" w:w="2424"/>
            <w:vAlign w:val="top"/>
          </w:tcPr>
          <w:p>
            <w:r>
              <w:t>Jeremiah 31:31-34; Matthew 26:26-29; Hebrews 8-10</w:t>
            </w:r>
          </w:p>
        </w:tc>
        <w:tc>
          <w:tcPr>
            <w:tcW w:type="dxa" w:w="2424"/>
            <w:vAlign w:val="top"/>
          </w:tcPr>
          <w:p>
            <w:r>
              <w:t>The covenant of grace established by Christ, bringing forgiveness, inward transformation, and fulfilment of previous covenants.</w:t>
            </w:r>
          </w:p>
        </w:tc>
        <w:tc>
          <w:tcPr>
            <w:tcW w:type="dxa" w:w="2424"/>
            <w:vAlign w:val="top"/>
          </w:tcPr>
          <w:p>
            <w:r>
              <w:t>The blood of Jesus Christ.</w:t>
            </w:r>
          </w:p>
        </w:tc>
        <w:tc>
          <w:tcPr>
            <w:tcW w:type="dxa" w:w="2424"/>
            <w:vAlign w:val="top"/>
          </w:tcPr>
          <w:p>
            <w:r>
              <w:t>The Holy Spirit sealing believers.</w:t>
            </w:r>
          </w:p>
        </w:tc>
        <w:tc>
          <w:tcPr>
            <w:tcW w:type="dxa" w:w="2424"/>
            <w:vAlign w:val="top"/>
          </w:tcPr>
          <w:p>
            <w:r>
              <w:t>Everlasting and final</w:t>
            </w:r>
          </w:p>
        </w:tc>
      </w:tr>
    </w:tbl>
    <w:p/>
    <w:p>
      <w:pPr>
        <w:pStyle w:val="Heading2"/>
      </w:pPr>
      <w:r>
        <w:t>Passage Covenant Analysis</w:t>
      </w:r>
    </w:p>
    <w:tbl>
      <w:tblPr>
        <w:tblStyle w:val="TableGrid"/>
        <w:tblW w:type="auto" w:w="0"/>
        <w:jc w:val="center"/>
        <w:tblLook w:firstColumn="1" w:firstRow="1" w:lastColumn="0" w:lastRow="0" w:noHBand="0" w:noVBand="1" w:val="04A0"/>
      </w:tblPr>
      <w:tblGrid>
        <w:gridCol w:w="2909"/>
        <w:gridCol w:w="2909"/>
        <w:gridCol w:w="2909"/>
        <w:gridCol w:w="2909"/>
        <w:gridCol w:w="2909"/>
      </w:tblGrid>
      <w:tr>
        <w:trPr>
          <w:tblHeader w:val="true"/>
          <w:cantSplit/>
        </w:trPr>
        <w:tc>
          <w:tcPr>
            <w:tcW w:type="dxa" w:w="2909"/>
            <w:shd w:fill="E8DCC5"/>
            <w:vAlign w:val="center"/>
          </w:tcPr>
          <w:p>
            <w:r>
              <w:rPr>
                <w:b/>
              </w:rPr>
              <w:t>Passage</w:t>
            </w:r>
          </w:p>
        </w:tc>
        <w:tc>
          <w:tcPr>
            <w:tcW w:type="dxa" w:w="2909"/>
            <w:shd w:fill="E8DCC5"/>
            <w:vAlign w:val="center"/>
          </w:tcPr>
          <w:p>
            <w:r>
              <w:rPr>
                <w:b/>
              </w:rPr>
              <w:t>Covenant evidence</w:t>
            </w:r>
          </w:p>
        </w:tc>
        <w:tc>
          <w:tcPr>
            <w:tcW w:type="dxa" w:w="2909"/>
            <w:shd w:fill="E8DCC5"/>
            <w:vAlign w:val="center"/>
          </w:tcPr>
          <w:p>
            <w:r>
              <w:rPr>
                <w:b/>
              </w:rPr>
              <w:t>Promise/command/sign/sanction</w:t>
            </w:r>
          </w:p>
        </w:tc>
        <w:tc>
          <w:tcPr>
            <w:tcW w:type="dxa" w:w="2909"/>
            <w:shd w:fill="E8DCC5"/>
            <w:vAlign w:val="center"/>
          </w:tcPr>
          <w:p>
            <w:r>
              <w:rPr>
                <w:b/>
              </w:rPr>
              <w:t>Fulfilment in Christ / NT handling</w:t>
            </w:r>
          </w:p>
        </w:tc>
        <w:tc>
          <w:tcPr>
            <w:tcW w:type="dxa" w:w="2909"/>
            <w:shd w:fill="E8DCC5"/>
            <w:vAlign w:val="center"/>
          </w:tcPr>
          <w:p>
            <w:r>
              <w:rPr>
                <w:b/>
              </w:rPr>
              <w:t>Application guardrail</w:t>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r>
        <w:trPr>
          <w:cantSplit/>
        </w:trPr>
        <w:tc>
          <w:tcPr>
            <w:tcW w:type="dxa" w:w="2909"/>
            <w:vAlign w:val="top"/>
          </w:tcPr>
          <w:p>
            <w:r/>
          </w:p>
        </w:tc>
        <w:tc>
          <w:tcPr>
            <w:tcW w:type="dxa" w:w="2909"/>
            <w:vAlign w:val="top"/>
          </w:tcPr>
          <w:p>
            <w:r/>
          </w:p>
        </w:tc>
        <w:tc>
          <w:tcPr>
            <w:tcW w:type="dxa" w:w="2909"/>
            <w:vAlign w:val="top"/>
          </w:tcPr>
          <w:p>
            <w:r/>
          </w:p>
        </w:tc>
        <w:tc>
          <w:tcPr>
            <w:tcW w:type="dxa" w:w="2909"/>
            <w:vAlign w:val="top"/>
          </w:tcPr>
          <w:p>
            <w:r/>
          </w:p>
        </w:tc>
        <w:tc>
          <w:tcPr>
            <w:tcW w:type="dxa" w:w="2909"/>
            <w:vAlign w:val="top"/>
          </w:tcPr>
          <w:p>
            <w:r/>
          </w:p>
        </w:tc>
      </w:tr>
    </w:tbl>
    <w:p/>
    <w:p>
      <w:r>
        <w:br w:type="page"/>
      </w:r>
    </w:p>
    <w:p>
      <w:pPr>
        <w:pStyle w:val="Heading1"/>
      </w:pPr>
      <w:r>
        <w:t>Model row and quality check</w:t>
      </w:r>
    </w:p>
    <w:p>
      <w:r>
        <w:t>Use this sample as a guide to the level of specificity expected. It is not meant to replace your own work on the passage.</w:t>
      </w:r>
    </w:p>
    <w:tbl>
      <w:tblPr>
        <w:tblStyle w:val="TableGrid"/>
        <w:tblW w:type="auto" w:w="0"/>
        <w:jc w:val="center"/>
        <w:tblLook w:firstColumn="1" w:firstRow="1" w:lastColumn="0" w:lastRow="0" w:noHBand="0" w:noVBand="1" w:val="04A0"/>
      </w:tblPr>
      <w:tblGrid>
        <w:gridCol w:w="7272"/>
        <w:gridCol w:w="7272"/>
      </w:tblGrid>
      <w:tr>
        <w:trPr>
          <w:tblHeader w:val="true"/>
        </w:trPr>
        <w:tc>
          <w:tcPr>
            <w:tcW w:type="dxa" w:w="2592"/>
            <w:vAlign w:val="top"/>
            <w:shd w:fill="D9EAF7"/>
          </w:tcPr>
          <w:p>
            <w:r/>
            <w:r>
              <w:rPr>
                <w:b/>
              </w:rPr>
              <w:t>Item</w:t>
            </w:r>
          </w:p>
        </w:tc>
        <w:tc>
          <w:tcPr>
            <w:tcW w:type="dxa" w:w="7632"/>
            <w:vAlign w:val="top"/>
            <w:shd w:fill="D9EAF7"/>
          </w:tcPr>
          <w:p>
            <w:r/>
            <w:r>
              <w:rPr>
                <w:b/>
              </w:rPr>
              <w:t>Model wording / standard</w:t>
            </w:r>
          </w:p>
        </w:tc>
      </w:tr>
      <w:tr>
        <w:tc>
          <w:tcPr>
            <w:tcW w:type="dxa" w:w="2592"/>
            <w:vAlign w:val="top"/>
          </w:tcPr>
          <w:p>
            <w:r/>
            <w:r>
              <w:rPr>
                <w:b w:val="0"/>
              </w:rPr>
              <w:t>Covenant sample row</w:t>
            </w:r>
          </w:p>
        </w:tc>
        <w:tc>
          <w:tcPr>
            <w:tcW w:type="dxa" w:w="7632"/>
            <w:vAlign w:val="top"/>
          </w:tcPr>
          <w:p>
            <w:r/>
            <w:r>
              <w:rPr>
                <w:b w:val="0"/>
              </w:rPr>
              <w:t>Galatians 3:6-29 primarily invokes the Abrahamic promise and contrasts it with the later Mosaic law. New Covenant application comes through union with Christ, not by making Gentile believers take on Mosaic boundary markers.</w:t>
            </w:r>
          </w:p>
        </w:tc>
      </w:tr>
      <w:tr>
        <w:tc>
          <w:tcPr>
            <w:tcW w:type="dxa" w:w="2592"/>
            <w:vAlign w:val="top"/>
          </w:tcPr>
          <w:p>
            <w:r/>
            <w:r>
              <w:rPr>
                <w:b w:val="0"/>
              </w:rPr>
              <w:t>New Covenant seal note</w:t>
            </w:r>
          </w:p>
        </w:tc>
        <w:tc>
          <w:tcPr>
            <w:tcW w:type="dxa" w:w="7632"/>
            <w:vAlign w:val="top"/>
          </w:tcPr>
          <w:p>
            <w:r/>
            <w:r>
              <w:rPr>
                <w:b w:val="0"/>
              </w:rPr>
              <w:t>Describe the Spirit carefully: the Spirit is given to believers, indwells and empowers them, and seals them as belonging to Christ; Conner/Malmin commonly connect the covenant sign/seal with Spirit infilling or baptism language.</w:t>
            </w:r>
          </w:p>
        </w:tc>
      </w:tr>
    </w:tbl>
    <w:p/>
    <w:sectPr w:rsidR="00FC693F" w:rsidRPr="0006063C" w:rsidSect="00034616">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