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Advanced Capstone Example: Galatians 3:6-29</w:t>
      </w:r>
    </w:p>
    <w:p>
      <w:r>
        <w:t>A model in-depth inductive study packet showing how the complete workflow can be integrated into one cohesive study. This example is intentionally concise enough for classroom use while still showing the major disciplines.</w:t>
      </w:r>
    </w:p>
    <w:p>
      <w:pPr>
        <w:pStyle w:val="Heading1"/>
      </w:pPr>
      <w:r>
        <w:t>1. Literary unit and study aim</w:t>
      </w:r>
    </w:p>
    <w:tbl>
      <w:tblPr>
        <w:tblStyle w:val="TableGrid"/>
        <w:tblW w:type="auto" w:w="0"/>
        <w:jc w:val="center"/>
        <w:tblLook w:firstColumn="1" w:firstRow="1" w:lastColumn="0" w:lastRow="0" w:noHBand="0" w:noVBand="1" w:val="04A0"/>
      </w:tblPr>
      <w:tblGrid>
        <w:gridCol w:w="5083"/>
        <w:gridCol w:w="5083"/>
      </w:tblGrid>
      <w:tr>
        <w:trPr>
          <w:tblHeader w:val="true"/>
        </w:trPr>
        <w:tc>
          <w:tcPr>
            <w:tcW w:type="dxa" w:w="2232"/>
            <w:vAlign w:val="top"/>
            <w:shd w:fill="D9EAF7"/>
          </w:tcPr>
          <w:p>
            <w:r/>
            <w:r>
              <w:rPr>
                <w:b/>
              </w:rPr>
              <w:t>Field</w:t>
            </w:r>
          </w:p>
        </w:tc>
        <w:tc>
          <w:tcPr>
            <w:tcW w:type="dxa" w:w="7560"/>
            <w:vAlign w:val="top"/>
            <w:shd w:fill="D9EAF7"/>
          </w:tcPr>
          <w:p>
            <w:r/>
            <w:r>
              <w:rPr>
                <w:b/>
              </w:rPr>
              <w:t>Model answer</w:t>
            </w:r>
          </w:p>
        </w:tc>
      </w:tr>
      <w:tr>
        <w:tc>
          <w:tcPr>
            <w:tcW w:type="dxa" w:w="2232"/>
            <w:vAlign w:val="top"/>
          </w:tcPr>
          <w:p>
            <w:r/>
            <w:r>
              <w:rPr>
                <w:b w:val="0"/>
              </w:rPr>
              <w:t>Passage</w:t>
            </w:r>
          </w:p>
        </w:tc>
        <w:tc>
          <w:tcPr>
            <w:tcW w:type="dxa" w:w="7560"/>
            <w:vAlign w:val="top"/>
          </w:tcPr>
          <w:p>
            <w:r/>
            <w:r>
              <w:rPr>
                <w:b w:val="0"/>
              </w:rPr>
              <w:t>Galatians 3:6-29</w:t>
            </w:r>
          </w:p>
        </w:tc>
      </w:tr>
      <w:tr>
        <w:tc>
          <w:tcPr>
            <w:tcW w:type="dxa" w:w="2232"/>
            <w:vAlign w:val="top"/>
          </w:tcPr>
          <w:p>
            <w:r/>
            <w:r>
              <w:rPr>
                <w:b w:val="0"/>
              </w:rPr>
              <w:t>Genre</w:t>
            </w:r>
          </w:p>
        </w:tc>
        <w:tc>
          <w:tcPr>
            <w:tcW w:type="dxa" w:w="7560"/>
            <w:vAlign w:val="top"/>
          </w:tcPr>
          <w:p>
            <w:r/>
            <w:r>
              <w:rPr>
                <w:b w:val="0"/>
              </w:rPr>
              <w:t>New Testament epistle: theological argument and pastoral correction.</w:t>
            </w:r>
          </w:p>
        </w:tc>
      </w:tr>
      <w:tr>
        <w:tc>
          <w:tcPr>
            <w:tcW w:type="dxa" w:w="2232"/>
            <w:vAlign w:val="top"/>
          </w:tcPr>
          <w:p>
            <w:r/>
            <w:r>
              <w:rPr>
                <w:b w:val="0"/>
              </w:rPr>
              <w:t>Unit boundary</w:t>
            </w:r>
          </w:p>
        </w:tc>
        <w:tc>
          <w:tcPr>
            <w:tcW w:type="dxa" w:w="7560"/>
            <w:vAlign w:val="top"/>
          </w:tcPr>
          <w:p>
            <w:r/>
            <w:r>
              <w:rPr>
                <w:b w:val="0"/>
              </w:rPr>
              <w:t>The unit develops Paul's argument from Abrahamic faith and blessing through the law, promise, and sonship in Christ.</w:t>
            </w:r>
          </w:p>
        </w:tc>
      </w:tr>
      <w:tr>
        <w:tc>
          <w:tcPr>
            <w:tcW w:type="dxa" w:w="2232"/>
            <w:vAlign w:val="top"/>
          </w:tcPr>
          <w:p>
            <w:r/>
            <w:r>
              <w:rPr>
                <w:b w:val="0"/>
              </w:rPr>
              <w:t>Study aim</w:t>
            </w:r>
          </w:p>
        </w:tc>
        <w:tc>
          <w:tcPr>
            <w:tcW w:type="dxa" w:w="7560"/>
            <w:vAlign w:val="top"/>
          </w:tcPr>
          <w:p>
            <w:r/>
            <w:r>
              <w:rPr>
                <w:b w:val="0"/>
              </w:rPr>
              <w:t>To understand how Paul argues that Abrahamic blessing and covenant membership come through faith in Christ, not through becoming bound to the Mosaic law as an identity marker.</w:t>
            </w:r>
          </w:p>
        </w:tc>
      </w:tr>
    </w:tbl>
    <w:p/>
    <w:p>
      <w:pPr>
        <w:pStyle w:val="Heading1"/>
      </w:pPr>
      <w:r>
        <w:t>2. Basic Required Information (BRI)</w:t>
      </w:r>
    </w:p>
    <w:tbl>
      <w:tblPr>
        <w:tblStyle w:val="TableGrid"/>
        <w:tblW w:type="auto" w:w="0"/>
        <w:jc w:val="center"/>
        <w:tblLook w:firstColumn="1" w:firstRow="1" w:lastColumn="0" w:lastRow="0" w:noHBand="0" w:noVBand="1" w:val="04A0"/>
      </w:tblPr>
      <w:tblGrid>
        <w:gridCol w:w="5083"/>
        <w:gridCol w:w="5083"/>
      </w:tblGrid>
      <w:tr>
        <w:trPr>
          <w:tblHeader w:val="true"/>
        </w:trPr>
        <w:tc>
          <w:tcPr>
            <w:tcW w:type="dxa" w:w="2304"/>
            <w:vAlign w:val="top"/>
            <w:shd w:fill="D9EAF7"/>
          </w:tcPr>
          <w:p>
            <w:r/>
            <w:r>
              <w:rPr>
                <w:b/>
              </w:rPr>
              <w:t>BRI item</w:t>
            </w:r>
          </w:p>
        </w:tc>
        <w:tc>
          <w:tcPr>
            <w:tcW w:type="dxa" w:w="7488"/>
            <w:vAlign w:val="top"/>
            <w:shd w:fill="D9EAF7"/>
          </w:tcPr>
          <w:p>
            <w:r/>
            <w:r>
              <w:rPr>
                <w:b/>
              </w:rPr>
              <w:t>Model answer</w:t>
            </w:r>
          </w:p>
        </w:tc>
      </w:tr>
      <w:tr>
        <w:tc>
          <w:tcPr>
            <w:tcW w:type="dxa" w:w="2304"/>
            <w:vAlign w:val="top"/>
          </w:tcPr>
          <w:p>
            <w:r/>
            <w:r>
              <w:rPr>
                <w:b w:val="0"/>
              </w:rPr>
              <w:t>Author and audience</w:t>
            </w:r>
          </w:p>
        </w:tc>
        <w:tc>
          <w:tcPr>
            <w:tcW w:type="dxa" w:w="7488"/>
            <w:vAlign w:val="top"/>
          </w:tcPr>
          <w:p>
            <w:r/>
            <w:r>
              <w:rPr>
                <w:b w:val="0"/>
              </w:rPr>
              <w:t>Paul writes to churches in Galatia facing pressure related to law observance and covenant identity.</w:t>
            </w:r>
          </w:p>
        </w:tc>
      </w:tr>
      <w:tr>
        <w:tc>
          <w:tcPr>
            <w:tcW w:type="dxa" w:w="2304"/>
            <w:vAlign w:val="top"/>
          </w:tcPr>
          <w:p>
            <w:r/>
            <w:r>
              <w:rPr>
                <w:b w:val="0"/>
              </w:rPr>
              <w:t>Occasion/problem</w:t>
            </w:r>
          </w:p>
        </w:tc>
        <w:tc>
          <w:tcPr>
            <w:tcW w:type="dxa" w:w="7488"/>
            <w:vAlign w:val="top"/>
          </w:tcPr>
          <w:p>
            <w:r/>
            <w:r>
              <w:rPr>
                <w:b w:val="0"/>
              </w:rPr>
              <w:t>The gospel is being distorted by teaching that effectively adds law-based boundary markers to faith in Christ.</w:t>
            </w:r>
          </w:p>
        </w:tc>
      </w:tr>
      <w:tr>
        <w:tc>
          <w:tcPr>
            <w:tcW w:type="dxa" w:w="2304"/>
            <w:vAlign w:val="top"/>
          </w:tcPr>
          <w:p>
            <w:r/>
            <w:r>
              <w:rPr>
                <w:b w:val="0"/>
              </w:rPr>
              <w:t>Book purpose</w:t>
            </w:r>
          </w:p>
        </w:tc>
        <w:tc>
          <w:tcPr>
            <w:tcW w:type="dxa" w:w="7488"/>
            <w:vAlign w:val="top"/>
          </w:tcPr>
          <w:p>
            <w:r/>
            <w:r>
              <w:rPr>
                <w:b w:val="0"/>
              </w:rPr>
              <w:t>Paul defends the gospel of grace, justification by faith, life in the Spirit, and freedom in Christ.</w:t>
            </w:r>
          </w:p>
        </w:tc>
      </w:tr>
      <w:tr>
        <w:tc>
          <w:tcPr>
            <w:tcW w:type="dxa" w:w="2304"/>
            <w:vAlign w:val="top"/>
          </w:tcPr>
          <w:p>
            <w:r/>
            <w:r>
              <w:rPr>
                <w:b w:val="0"/>
              </w:rPr>
              <w:t>Immediate context</w:t>
            </w:r>
          </w:p>
        </w:tc>
        <w:tc>
          <w:tcPr>
            <w:tcW w:type="dxa" w:w="7488"/>
            <w:vAlign w:val="top"/>
          </w:tcPr>
          <w:p>
            <w:r/>
            <w:r>
              <w:rPr>
                <w:b w:val="0"/>
              </w:rPr>
              <w:t>Chapter 3 follows Paul's rebuke and asks whether the Galatians received the Spirit by works of law or by hearing with faith.</w:t>
            </w:r>
          </w:p>
        </w:tc>
      </w:tr>
      <w:tr>
        <w:tc>
          <w:tcPr>
            <w:tcW w:type="dxa" w:w="2304"/>
            <w:vAlign w:val="top"/>
          </w:tcPr>
          <w:p>
            <w:r/>
            <w:r>
              <w:rPr>
                <w:b w:val="0"/>
              </w:rPr>
              <w:t>Genre control</w:t>
            </w:r>
          </w:p>
        </w:tc>
        <w:tc>
          <w:tcPr>
            <w:tcW w:type="dxa" w:w="7488"/>
            <w:vAlign w:val="top"/>
          </w:tcPr>
          <w:p>
            <w:r/>
            <w:r>
              <w:rPr>
                <w:b w:val="0"/>
              </w:rPr>
              <w:t>This is argument. Interpret each statement as part of Paul's reasoning, not as detached slogans.</w:t>
            </w:r>
          </w:p>
        </w:tc>
      </w:tr>
    </w:tbl>
    <w:p/>
    <w:p>
      <w:pPr>
        <w:pStyle w:val="Heading1"/>
      </w:pPr>
      <w:r>
        <w:t>3. Progressive readings build</w:t>
      </w:r>
    </w:p>
    <w:tbl>
      <w:tblPr>
        <w:tblStyle w:val="TableGrid"/>
        <w:tblW w:type="auto" w:w="0"/>
        <w:jc w:val="center"/>
        <w:tblLook w:firstColumn="1" w:firstRow="1" w:lastColumn="0" w:lastRow="0" w:noHBand="0" w:noVBand="1" w:val="04A0"/>
      </w:tblPr>
      <w:tblGrid>
        <w:gridCol w:w="3389"/>
        <w:gridCol w:w="3389"/>
        <w:gridCol w:w="3389"/>
      </w:tblGrid>
      <w:tr>
        <w:trPr>
          <w:tblHeader w:val="true"/>
        </w:trPr>
        <w:tc>
          <w:tcPr>
            <w:tcW w:type="dxa" w:w="1152"/>
            <w:vAlign w:val="top"/>
            <w:shd w:fill="D9EAF7"/>
          </w:tcPr>
          <w:p>
            <w:r/>
            <w:r>
              <w:rPr>
                <w:b/>
              </w:rPr>
              <w:t>Reading</w:t>
            </w:r>
          </w:p>
        </w:tc>
        <w:tc>
          <w:tcPr>
            <w:tcW w:type="dxa" w:w="2376"/>
            <w:vAlign w:val="top"/>
            <w:shd w:fill="D9EAF7"/>
          </w:tcPr>
          <w:p>
            <w:r/>
            <w:r>
              <w:rPr>
                <w:b/>
              </w:rPr>
              <w:t>Focus</w:t>
            </w:r>
          </w:p>
        </w:tc>
        <w:tc>
          <w:tcPr>
            <w:tcW w:type="dxa" w:w="6336"/>
            <w:vAlign w:val="top"/>
            <w:shd w:fill="D9EAF7"/>
          </w:tcPr>
          <w:p>
            <w:r/>
            <w:r>
              <w:rPr>
                <w:b/>
              </w:rPr>
              <w:t>Accumulated result</w:t>
            </w:r>
          </w:p>
        </w:tc>
      </w:tr>
      <w:tr>
        <w:tc>
          <w:tcPr>
            <w:tcW w:type="dxa" w:w="1152"/>
            <w:vAlign w:val="top"/>
          </w:tcPr>
          <w:p>
            <w:r/>
            <w:r>
              <w:rPr>
                <w:b w:val="0"/>
              </w:rPr>
              <w:t>1</w:t>
            </w:r>
          </w:p>
        </w:tc>
        <w:tc>
          <w:tcPr>
            <w:tcW w:type="dxa" w:w="2376"/>
            <w:vAlign w:val="top"/>
          </w:tcPr>
          <w:p>
            <w:r/>
            <w:r>
              <w:rPr>
                <w:b w:val="0"/>
              </w:rPr>
              <w:t>Big picture</w:t>
            </w:r>
          </w:p>
        </w:tc>
        <w:tc>
          <w:tcPr>
            <w:tcW w:type="dxa" w:w="6336"/>
            <w:vAlign w:val="top"/>
          </w:tcPr>
          <w:p>
            <w:r/>
            <w:r>
              <w:rPr>
                <w:b w:val="0"/>
              </w:rPr>
              <w:t>Paul contrasts faith/promise with works of law and shows Christ as the seed through whom blessing comes.</w:t>
            </w:r>
          </w:p>
        </w:tc>
      </w:tr>
      <w:tr>
        <w:tc>
          <w:tcPr>
            <w:tcW w:type="dxa" w:w="1152"/>
            <w:vAlign w:val="top"/>
          </w:tcPr>
          <w:p>
            <w:r/>
            <w:r>
              <w:rPr>
                <w:b w:val="0"/>
              </w:rPr>
              <w:t>2</w:t>
            </w:r>
          </w:p>
        </w:tc>
        <w:tc>
          <w:tcPr>
            <w:tcW w:type="dxa" w:w="2376"/>
            <w:vAlign w:val="top"/>
          </w:tcPr>
          <w:p>
            <w:r/>
            <w:r>
              <w:rPr>
                <w:b w:val="0"/>
              </w:rPr>
              <w:t>Repeated words</w:t>
            </w:r>
          </w:p>
        </w:tc>
        <w:tc>
          <w:tcPr>
            <w:tcW w:type="dxa" w:w="6336"/>
            <w:vAlign w:val="top"/>
          </w:tcPr>
          <w:p>
            <w:r/>
            <w:r>
              <w:rPr>
                <w:b w:val="0"/>
              </w:rPr>
              <w:t>Faith/believe, Abraham, blessing, law, promise, seed, Christ, sons, heirs.</w:t>
            </w:r>
          </w:p>
        </w:tc>
      </w:tr>
      <w:tr>
        <w:tc>
          <w:tcPr>
            <w:tcW w:type="dxa" w:w="1152"/>
            <w:vAlign w:val="top"/>
          </w:tcPr>
          <w:p>
            <w:r/>
            <w:r>
              <w:rPr>
                <w:b w:val="0"/>
              </w:rPr>
              <w:t>3</w:t>
            </w:r>
          </w:p>
        </w:tc>
        <w:tc>
          <w:tcPr>
            <w:tcW w:type="dxa" w:w="2376"/>
            <w:vAlign w:val="top"/>
          </w:tcPr>
          <w:p>
            <w:r/>
            <w:r>
              <w:rPr>
                <w:b w:val="0"/>
              </w:rPr>
              <w:t>Argument movement</w:t>
            </w:r>
          </w:p>
        </w:tc>
        <w:tc>
          <w:tcPr>
            <w:tcW w:type="dxa" w:w="6336"/>
            <w:vAlign w:val="top"/>
          </w:tcPr>
          <w:p>
            <w:r/>
            <w:r>
              <w:rPr>
                <w:b w:val="0"/>
              </w:rPr>
              <w:t>Abrahamic faith -&gt; blessing to nations -&gt; curse of law -&gt; Christ redeems -&gt; law added later -&gt; promise fulfilled in Christ -&gt; believers are sons/heirs.</w:t>
            </w:r>
          </w:p>
        </w:tc>
      </w:tr>
      <w:tr>
        <w:tc>
          <w:tcPr>
            <w:tcW w:type="dxa" w:w="1152"/>
            <w:vAlign w:val="top"/>
          </w:tcPr>
          <w:p>
            <w:r/>
            <w:r>
              <w:rPr>
                <w:b w:val="0"/>
              </w:rPr>
              <w:t>4</w:t>
            </w:r>
          </w:p>
        </w:tc>
        <w:tc>
          <w:tcPr>
            <w:tcW w:type="dxa" w:w="2376"/>
            <w:vAlign w:val="top"/>
          </w:tcPr>
          <w:p>
            <w:r/>
            <w:r>
              <w:rPr>
                <w:b w:val="0"/>
              </w:rPr>
              <w:t>Questions</w:t>
            </w:r>
          </w:p>
        </w:tc>
        <w:tc>
          <w:tcPr>
            <w:tcW w:type="dxa" w:w="6336"/>
            <w:vAlign w:val="top"/>
          </w:tcPr>
          <w:p>
            <w:r/>
            <w:r>
              <w:rPr>
                <w:b w:val="0"/>
              </w:rPr>
              <w:t>How does Genesis 15:6 function? Why is the law described as later? How does Christ as seed relate to many believers?</w:t>
            </w:r>
          </w:p>
        </w:tc>
      </w:tr>
      <w:tr>
        <w:tc>
          <w:tcPr>
            <w:tcW w:type="dxa" w:w="1152"/>
            <w:vAlign w:val="top"/>
          </w:tcPr>
          <w:p>
            <w:r/>
            <w:r>
              <w:rPr>
                <w:b w:val="0"/>
              </w:rPr>
              <w:t>5</w:t>
            </w:r>
          </w:p>
        </w:tc>
        <w:tc>
          <w:tcPr>
            <w:tcW w:type="dxa" w:w="2376"/>
            <w:vAlign w:val="top"/>
          </w:tcPr>
          <w:p>
            <w:r/>
            <w:r>
              <w:rPr>
                <w:b w:val="0"/>
              </w:rPr>
              <w:t>Application control</w:t>
            </w:r>
          </w:p>
        </w:tc>
        <w:tc>
          <w:tcPr>
            <w:tcW w:type="dxa" w:w="6336"/>
            <w:vAlign w:val="top"/>
          </w:tcPr>
          <w:p>
            <w:r/>
            <w:r>
              <w:rPr>
                <w:b w:val="0"/>
              </w:rPr>
              <w:t>Application must not treat Christians as lawless, but must not put them under Mosaic identity markers as the basis of covenant standing.</w:t>
            </w:r>
          </w:p>
        </w:tc>
      </w:tr>
    </w:tbl>
    <w:p/>
    <w:p>
      <w:pPr>
        <w:pStyle w:val="Heading1"/>
      </w:pPr>
      <w:r>
        <w:t>4. Observation and thought-flow</w:t>
      </w:r>
    </w:p>
    <w:tbl>
      <w:tblPr>
        <w:tblStyle w:val="TableGrid"/>
        <w:tblW w:type="auto" w:w="0"/>
        <w:jc w:val="center"/>
        <w:tblLook w:firstColumn="1" w:firstRow="1" w:lastColumn="0" w:lastRow="0" w:noHBand="0" w:noVBand="1" w:val="04A0"/>
      </w:tblPr>
      <w:tblGrid>
        <w:gridCol w:w="3389"/>
        <w:gridCol w:w="3389"/>
        <w:gridCol w:w="3389"/>
      </w:tblGrid>
      <w:tr>
        <w:trPr>
          <w:tblHeader w:val="true"/>
        </w:trPr>
        <w:tc>
          <w:tcPr>
            <w:tcW w:type="dxa" w:w="1440"/>
            <w:vAlign w:val="top"/>
            <w:shd w:fill="D9EAF7"/>
          </w:tcPr>
          <w:p>
            <w:r/>
            <w:r>
              <w:rPr>
                <w:b/>
              </w:rPr>
              <w:t>Segment</w:t>
            </w:r>
          </w:p>
        </w:tc>
        <w:tc>
          <w:tcPr>
            <w:tcW w:type="dxa" w:w="2232"/>
            <w:vAlign w:val="top"/>
            <w:shd w:fill="D9EAF7"/>
          </w:tcPr>
          <w:p>
            <w:r/>
            <w:r>
              <w:rPr>
                <w:b/>
              </w:rPr>
              <w:t>Paragraph title</w:t>
            </w:r>
          </w:p>
        </w:tc>
        <w:tc>
          <w:tcPr>
            <w:tcW w:type="dxa" w:w="6192"/>
            <w:vAlign w:val="top"/>
            <w:shd w:fill="D9EAF7"/>
          </w:tcPr>
          <w:p>
            <w:r/>
            <w:r>
              <w:rPr>
                <w:b/>
              </w:rPr>
              <w:t>Key observations</w:t>
            </w:r>
          </w:p>
        </w:tc>
      </w:tr>
      <w:tr>
        <w:tc>
          <w:tcPr>
            <w:tcW w:type="dxa" w:w="1440"/>
            <w:vAlign w:val="top"/>
          </w:tcPr>
          <w:p>
            <w:r/>
            <w:r>
              <w:rPr>
                <w:b w:val="0"/>
              </w:rPr>
              <w:t>3:6-9</w:t>
            </w:r>
          </w:p>
        </w:tc>
        <w:tc>
          <w:tcPr>
            <w:tcW w:type="dxa" w:w="2232"/>
            <w:vAlign w:val="top"/>
          </w:tcPr>
          <w:p>
            <w:r/>
            <w:r>
              <w:rPr>
                <w:b w:val="0"/>
              </w:rPr>
              <w:t>Abrahamic faith and blessing</w:t>
            </w:r>
          </w:p>
        </w:tc>
        <w:tc>
          <w:tcPr>
            <w:tcW w:type="dxa" w:w="6192"/>
            <w:vAlign w:val="top"/>
          </w:tcPr>
          <w:p>
            <w:r/>
            <w:r>
              <w:rPr>
                <w:b w:val="0"/>
              </w:rPr>
              <w:t>Abraham believed God; those of faith are connected with Abraham; Scripture announced blessing to the nations.</w:t>
            </w:r>
          </w:p>
        </w:tc>
      </w:tr>
      <w:tr>
        <w:tc>
          <w:tcPr>
            <w:tcW w:type="dxa" w:w="1440"/>
            <w:vAlign w:val="top"/>
          </w:tcPr>
          <w:p>
            <w:r/>
            <w:r>
              <w:rPr>
                <w:b w:val="0"/>
              </w:rPr>
              <w:t>3:10-14</w:t>
            </w:r>
          </w:p>
        </w:tc>
        <w:tc>
          <w:tcPr>
            <w:tcW w:type="dxa" w:w="2232"/>
            <w:vAlign w:val="top"/>
          </w:tcPr>
          <w:p>
            <w:r/>
            <w:r>
              <w:rPr>
                <w:b w:val="0"/>
              </w:rPr>
              <w:t>Christ redeems from the curse</w:t>
            </w:r>
          </w:p>
        </w:tc>
        <w:tc>
          <w:tcPr>
            <w:tcW w:type="dxa" w:w="6192"/>
            <w:vAlign w:val="top"/>
          </w:tcPr>
          <w:p>
            <w:r/>
            <w:r>
              <w:rPr>
                <w:b w:val="0"/>
              </w:rPr>
              <w:t>Law-curse language is contrasted with faith; Christ becomes curse so Abrahamic blessing and the Spirit come through faith.</w:t>
            </w:r>
          </w:p>
        </w:tc>
      </w:tr>
      <w:tr>
        <w:tc>
          <w:tcPr>
            <w:tcW w:type="dxa" w:w="1440"/>
            <w:vAlign w:val="top"/>
          </w:tcPr>
          <w:p>
            <w:r/>
            <w:r>
              <w:rPr>
                <w:b w:val="0"/>
              </w:rPr>
              <w:t>3:15-18</w:t>
            </w:r>
          </w:p>
        </w:tc>
        <w:tc>
          <w:tcPr>
            <w:tcW w:type="dxa" w:w="2232"/>
            <w:vAlign w:val="top"/>
          </w:tcPr>
          <w:p>
            <w:r/>
            <w:r>
              <w:rPr>
                <w:b w:val="0"/>
              </w:rPr>
              <w:t>Promise precedes law</w:t>
            </w:r>
          </w:p>
        </w:tc>
        <w:tc>
          <w:tcPr>
            <w:tcW w:type="dxa" w:w="6192"/>
            <w:vAlign w:val="top"/>
          </w:tcPr>
          <w:p>
            <w:r/>
            <w:r>
              <w:rPr>
                <w:b w:val="0"/>
              </w:rPr>
              <w:t>A later law does not cancel the earlier promise; inheritance is grounded in promise.</w:t>
            </w:r>
          </w:p>
        </w:tc>
      </w:tr>
      <w:tr>
        <w:tc>
          <w:tcPr>
            <w:tcW w:type="dxa" w:w="1440"/>
            <w:vAlign w:val="top"/>
          </w:tcPr>
          <w:p>
            <w:r/>
            <w:r>
              <w:rPr>
                <w:b w:val="0"/>
              </w:rPr>
              <w:t>3:19-25</w:t>
            </w:r>
          </w:p>
        </w:tc>
        <w:tc>
          <w:tcPr>
            <w:tcW w:type="dxa" w:w="2232"/>
            <w:vAlign w:val="top"/>
          </w:tcPr>
          <w:p>
            <w:r/>
            <w:r>
              <w:rPr>
                <w:b w:val="0"/>
              </w:rPr>
              <w:t>The temporary role of the law</w:t>
            </w:r>
          </w:p>
        </w:tc>
        <w:tc>
          <w:tcPr>
            <w:tcW w:type="dxa" w:w="6192"/>
            <w:vAlign w:val="top"/>
          </w:tcPr>
          <w:p>
            <w:r/>
            <w:r>
              <w:rPr>
                <w:b w:val="0"/>
              </w:rPr>
              <w:t>The law was added because of transgressions and functioned until Christ; it served a temporary custodial role.</w:t>
            </w:r>
          </w:p>
        </w:tc>
      </w:tr>
      <w:tr>
        <w:tc>
          <w:tcPr>
            <w:tcW w:type="dxa" w:w="1440"/>
            <w:vAlign w:val="top"/>
          </w:tcPr>
          <w:p>
            <w:r/>
            <w:r>
              <w:rPr>
                <w:b w:val="0"/>
              </w:rPr>
              <w:t>3:26-29</w:t>
            </w:r>
          </w:p>
        </w:tc>
        <w:tc>
          <w:tcPr>
            <w:tcW w:type="dxa" w:w="2232"/>
            <w:vAlign w:val="top"/>
          </w:tcPr>
          <w:p>
            <w:r/>
            <w:r>
              <w:rPr>
                <w:b w:val="0"/>
              </w:rPr>
              <w:t>Sons and heirs in Christ</w:t>
            </w:r>
          </w:p>
        </w:tc>
        <w:tc>
          <w:tcPr>
            <w:tcW w:type="dxa" w:w="6192"/>
            <w:vAlign w:val="top"/>
          </w:tcPr>
          <w:p>
            <w:r/>
            <w:r>
              <w:rPr>
                <w:b w:val="0"/>
              </w:rPr>
              <w:t>Union with Christ defines sonship and inheritance; ethnic/social distinctions do not determine covenant standing.</w:t>
            </w:r>
          </w:p>
        </w:tc>
      </w:tr>
    </w:tbl>
    <w:p/>
    <w:p>
      <w:pPr>
        <w:pStyle w:val="Heading1"/>
      </w:pPr>
      <w:r>
        <w:t>5. Word study and grammar notes</w:t>
      </w:r>
    </w:p>
    <w:tbl>
      <w:tblPr>
        <w:tblStyle w:val="TableGrid"/>
        <w:tblW w:type="auto" w:w="0"/>
        <w:jc w:val="center"/>
        <w:tblLook w:firstColumn="1" w:firstRow="1" w:lastColumn="0" w:lastRow="0" w:noHBand="0" w:noVBand="1" w:val="04A0"/>
      </w:tblPr>
      <w:tblGrid>
        <w:gridCol w:w="3389"/>
        <w:gridCol w:w="3389"/>
        <w:gridCol w:w="3389"/>
      </w:tblGrid>
      <w:tr>
        <w:trPr>
          <w:tblHeader w:val="true"/>
        </w:trPr>
        <w:tc>
          <w:tcPr>
            <w:tcW w:type="dxa" w:w="1872"/>
            <w:vAlign w:val="top"/>
            <w:shd w:fill="D9EAF7"/>
          </w:tcPr>
          <w:p>
            <w:r/>
            <w:r>
              <w:rPr>
                <w:b/>
              </w:rPr>
              <w:t>Item</w:t>
            </w:r>
          </w:p>
        </w:tc>
        <w:tc>
          <w:tcPr>
            <w:tcW w:type="dxa" w:w="3888"/>
            <w:vAlign w:val="top"/>
            <w:shd w:fill="D9EAF7"/>
          </w:tcPr>
          <w:p>
            <w:r/>
            <w:r>
              <w:rPr>
                <w:b/>
              </w:rPr>
              <w:t>Observation</w:t>
            </w:r>
          </w:p>
        </w:tc>
        <w:tc>
          <w:tcPr>
            <w:tcW w:type="dxa" w:w="3888"/>
            <w:vAlign w:val="top"/>
            <w:shd w:fill="D9EAF7"/>
          </w:tcPr>
          <w:p>
            <w:r/>
            <w:r>
              <w:rPr>
                <w:b/>
              </w:rPr>
              <w:t>Interpretive payoff</w:t>
            </w:r>
          </w:p>
        </w:tc>
      </w:tr>
      <w:tr>
        <w:tc>
          <w:tcPr>
            <w:tcW w:type="dxa" w:w="1872"/>
            <w:vAlign w:val="top"/>
          </w:tcPr>
          <w:p>
            <w:r/>
            <w:r>
              <w:rPr>
                <w:b w:val="0"/>
              </w:rPr>
              <w:t>Faith / believe</w:t>
            </w:r>
          </w:p>
        </w:tc>
        <w:tc>
          <w:tcPr>
            <w:tcW w:type="dxa" w:w="3888"/>
            <w:vAlign w:val="top"/>
          </w:tcPr>
          <w:p>
            <w:r/>
            <w:r>
              <w:rPr>
                <w:b w:val="0"/>
              </w:rPr>
              <w:t>The repeated faith language links the Galatians to Abraham and to receiving the promise in Christ.</w:t>
            </w:r>
          </w:p>
        </w:tc>
        <w:tc>
          <w:tcPr>
            <w:tcW w:type="dxa" w:w="3888"/>
            <w:vAlign w:val="top"/>
          </w:tcPr>
          <w:p>
            <w:r/>
            <w:r>
              <w:rPr>
                <w:b w:val="0"/>
              </w:rPr>
              <w:t>Faith is not a vague religious feeling; it is the means by which the promise is received.</w:t>
            </w:r>
          </w:p>
        </w:tc>
      </w:tr>
      <w:tr>
        <w:tc>
          <w:tcPr>
            <w:tcW w:type="dxa" w:w="1872"/>
            <w:vAlign w:val="top"/>
          </w:tcPr>
          <w:p>
            <w:r/>
            <w:r>
              <w:rPr>
                <w:b w:val="0"/>
              </w:rPr>
              <w:t>Seed</w:t>
            </w:r>
          </w:p>
        </w:tc>
        <w:tc>
          <w:tcPr>
            <w:tcW w:type="dxa" w:w="3888"/>
            <w:vAlign w:val="top"/>
          </w:tcPr>
          <w:p>
            <w:r/>
            <w:r>
              <w:rPr>
                <w:b w:val="0"/>
              </w:rPr>
              <w:t>Paul focuses the promise on Christ and then includes believers by union with Christ.</w:t>
            </w:r>
          </w:p>
        </w:tc>
        <w:tc>
          <w:tcPr>
            <w:tcW w:type="dxa" w:w="3888"/>
            <w:vAlign w:val="top"/>
          </w:tcPr>
          <w:p>
            <w:r/>
            <w:r>
              <w:rPr>
                <w:b w:val="0"/>
              </w:rPr>
              <w:t>The inheritance is Christ-centred before it is believer-applied.</w:t>
            </w:r>
          </w:p>
        </w:tc>
      </w:tr>
      <w:tr>
        <w:tc>
          <w:tcPr>
            <w:tcW w:type="dxa" w:w="1872"/>
            <w:vAlign w:val="top"/>
          </w:tcPr>
          <w:p>
            <w:r/>
            <w:r>
              <w:rPr>
                <w:b w:val="0"/>
              </w:rPr>
              <w:t>Law</w:t>
            </w:r>
          </w:p>
        </w:tc>
        <w:tc>
          <w:tcPr>
            <w:tcW w:type="dxa" w:w="3888"/>
            <w:vAlign w:val="top"/>
          </w:tcPr>
          <w:p>
            <w:r/>
            <w:r>
              <w:rPr>
                <w:b w:val="0"/>
              </w:rPr>
              <w:t>The law is described as later and temporary in its covenantal role.</w:t>
            </w:r>
          </w:p>
        </w:tc>
        <w:tc>
          <w:tcPr>
            <w:tcW w:type="dxa" w:w="3888"/>
            <w:vAlign w:val="top"/>
          </w:tcPr>
          <w:p>
            <w:r/>
            <w:r>
              <w:rPr>
                <w:b w:val="0"/>
              </w:rPr>
              <w:t>The Mosaic law cannot overturn the prior Abrahamic promise.</w:t>
            </w:r>
          </w:p>
        </w:tc>
      </w:tr>
      <w:tr>
        <w:tc>
          <w:tcPr>
            <w:tcW w:type="dxa" w:w="1872"/>
            <w:vAlign w:val="top"/>
          </w:tcPr>
          <w:p>
            <w:r/>
            <w:r>
              <w:rPr>
                <w:b w:val="0"/>
              </w:rPr>
              <w:t>In Christ</w:t>
            </w:r>
          </w:p>
        </w:tc>
        <w:tc>
          <w:tcPr>
            <w:tcW w:type="dxa" w:w="3888"/>
            <w:vAlign w:val="top"/>
          </w:tcPr>
          <w:p>
            <w:r/>
            <w:r>
              <w:rPr>
                <w:b w:val="0"/>
              </w:rPr>
              <w:t>The final section locates identity, sonship, baptismal belonging, and inheritance in Christ.</w:t>
            </w:r>
          </w:p>
        </w:tc>
        <w:tc>
          <w:tcPr>
            <w:tcW w:type="dxa" w:w="3888"/>
            <w:vAlign w:val="top"/>
          </w:tcPr>
          <w:p>
            <w:r/>
            <w:r>
              <w:rPr>
                <w:b w:val="0"/>
              </w:rPr>
              <w:t>Application must be union-with-Christ centred.</w:t>
            </w:r>
          </w:p>
        </w:tc>
      </w:tr>
    </w:tbl>
    <w:p/>
    <w:p>
      <w:pPr>
        <w:pStyle w:val="Heading1"/>
      </w:pPr>
      <w:r>
        <w:t>6. NT use of OT</w:t>
      </w:r>
    </w:p>
    <w:tbl>
      <w:tblPr>
        <w:tblStyle w:val="TableGrid"/>
        <w:tblW w:type="auto" w:w="0"/>
        <w:jc w:val="center"/>
        <w:tblLook w:firstColumn="1" w:firstRow="1" w:lastColumn="0" w:lastRow="0" w:noHBand="0" w:noVBand="1" w:val="04A0"/>
      </w:tblPr>
      <w:tblGrid>
        <w:gridCol w:w="3389"/>
        <w:gridCol w:w="3389"/>
        <w:gridCol w:w="3389"/>
      </w:tblGrid>
      <w:tr>
        <w:trPr>
          <w:tblHeader w:val="true"/>
        </w:trPr>
        <w:tc>
          <w:tcPr>
            <w:tcW w:type="dxa" w:w="2304"/>
            <w:vAlign w:val="top"/>
            <w:shd w:fill="D9EAF7"/>
          </w:tcPr>
          <w:p>
            <w:r/>
            <w:r>
              <w:rPr>
                <w:b/>
              </w:rPr>
              <w:t>OT text / theme</w:t>
            </w:r>
          </w:p>
        </w:tc>
        <w:tc>
          <w:tcPr>
            <w:tcW w:type="dxa" w:w="3312"/>
            <w:vAlign w:val="top"/>
            <w:shd w:fill="D9EAF7"/>
          </w:tcPr>
          <w:p>
            <w:r/>
            <w:r>
              <w:rPr>
                <w:b/>
              </w:rPr>
              <w:t>Use in Galatians 3</w:t>
            </w:r>
          </w:p>
        </w:tc>
        <w:tc>
          <w:tcPr>
            <w:tcW w:type="dxa" w:w="3888"/>
            <w:vAlign w:val="top"/>
            <w:shd w:fill="D9EAF7"/>
          </w:tcPr>
          <w:p>
            <w:r/>
            <w:r>
              <w:rPr>
                <w:b/>
              </w:rPr>
              <w:t>Study conclusion</w:t>
            </w:r>
          </w:p>
        </w:tc>
      </w:tr>
      <w:tr>
        <w:tc>
          <w:tcPr>
            <w:tcW w:type="dxa" w:w="2304"/>
            <w:vAlign w:val="top"/>
          </w:tcPr>
          <w:p>
            <w:r/>
            <w:r>
              <w:rPr>
                <w:b w:val="0"/>
              </w:rPr>
              <w:t>Genesis 15:6</w:t>
            </w:r>
          </w:p>
        </w:tc>
        <w:tc>
          <w:tcPr>
            <w:tcW w:type="dxa" w:w="3312"/>
            <w:vAlign w:val="top"/>
          </w:tcPr>
          <w:p>
            <w:r/>
            <w:r>
              <w:rPr>
                <w:b w:val="0"/>
              </w:rPr>
              <w:t>Abraham's faith is counted as righteousness.</w:t>
            </w:r>
          </w:p>
        </w:tc>
        <w:tc>
          <w:tcPr>
            <w:tcW w:type="dxa" w:w="3888"/>
            <w:vAlign w:val="top"/>
          </w:tcPr>
          <w:p>
            <w:r/>
            <w:r>
              <w:rPr>
                <w:b w:val="0"/>
              </w:rPr>
              <w:t>Paul uses Abraham as the pattern for faith-based righteousness.</w:t>
            </w:r>
          </w:p>
        </w:tc>
      </w:tr>
      <w:tr>
        <w:tc>
          <w:tcPr>
            <w:tcW w:type="dxa" w:w="2304"/>
            <w:vAlign w:val="top"/>
          </w:tcPr>
          <w:p>
            <w:r/>
            <w:r>
              <w:rPr>
                <w:b w:val="0"/>
              </w:rPr>
              <w:t>Genesis 12:3 / 18:18 themes</w:t>
            </w:r>
          </w:p>
        </w:tc>
        <w:tc>
          <w:tcPr>
            <w:tcW w:type="dxa" w:w="3312"/>
            <w:vAlign w:val="top"/>
          </w:tcPr>
          <w:p>
            <w:r/>
            <w:r>
              <w:rPr>
                <w:b w:val="0"/>
              </w:rPr>
              <w:t>Blessing extends to the nations.</w:t>
            </w:r>
          </w:p>
        </w:tc>
        <w:tc>
          <w:tcPr>
            <w:tcW w:type="dxa" w:w="3888"/>
            <w:vAlign w:val="top"/>
          </w:tcPr>
          <w:p>
            <w:r/>
            <w:r>
              <w:rPr>
                <w:b w:val="0"/>
              </w:rPr>
              <w:t>Gentile inclusion is not an afterthought; it belongs to the Abrahamic promise.</w:t>
            </w:r>
          </w:p>
        </w:tc>
      </w:tr>
      <w:tr>
        <w:tc>
          <w:tcPr>
            <w:tcW w:type="dxa" w:w="2304"/>
            <w:vAlign w:val="top"/>
          </w:tcPr>
          <w:p>
            <w:r/>
            <w:r>
              <w:rPr>
                <w:b w:val="0"/>
              </w:rPr>
              <w:t>Deuteronomy curse language</w:t>
            </w:r>
          </w:p>
        </w:tc>
        <w:tc>
          <w:tcPr>
            <w:tcW w:type="dxa" w:w="3312"/>
            <w:vAlign w:val="top"/>
          </w:tcPr>
          <w:p>
            <w:r/>
            <w:r>
              <w:rPr>
                <w:b w:val="0"/>
              </w:rPr>
              <w:t>The law exposes curse when obedience fails.</w:t>
            </w:r>
          </w:p>
        </w:tc>
        <w:tc>
          <w:tcPr>
            <w:tcW w:type="dxa" w:w="3888"/>
            <w:vAlign w:val="top"/>
          </w:tcPr>
          <w:p>
            <w:r/>
            <w:r>
              <w:rPr>
                <w:b w:val="0"/>
              </w:rPr>
              <w:t>Christ's redemptive work answers the curse and opens blessing.</w:t>
            </w:r>
          </w:p>
        </w:tc>
      </w:tr>
      <w:tr>
        <w:tc>
          <w:tcPr>
            <w:tcW w:type="dxa" w:w="2304"/>
            <w:vAlign w:val="top"/>
          </w:tcPr>
          <w:p>
            <w:r/>
            <w:r>
              <w:rPr>
                <w:b w:val="0"/>
              </w:rPr>
              <w:t>Seed promise</w:t>
            </w:r>
          </w:p>
        </w:tc>
        <w:tc>
          <w:tcPr>
            <w:tcW w:type="dxa" w:w="3312"/>
            <w:vAlign w:val="top"/>
          </w:tcPr>
          <w:p>
            <w:r/>
            <w:r>
              <w:rPr>
                <w:b w:val="0"/>
              </w:rPr>
              <w:t>Paul reads the promise as ultimately focused in Christ.</w:t>
            </w:r>
          </w:p>
        </w:tc>
        <w:tc>
          <w:tcPr>
            <w:tcW w:type="dxa" w:w="3888"/>
            <w:vAlign w:val="top"/>
          </w:tcPr>
          <w:p>
            <w:r/>
            <w:r>
              <w:rPr>
                <w:b w:val="0"/>
              </w:rPr>
              <w:t>Believers inherit because they belong to Christ, not because they become ethnic Israel or law-bound.</w:t>
            </w:r>
          </w:p>
        </w:tc>
      </w:tr>
    </w:tbl>
    <w:p/>
    <w:p>
      <w:pPr>
        <w:pStyle w:val="Heading1"/>
      </w:pPr>
      <w:r>
        <w:t>7. Covenant context</w:t>
      </w:r>
    </w:p>
    <w:tbl>
      <w:tblPr>
        <w:tblStyle w:val="TableGrid"/>
        <w:tblW w:type="auto" w:w="0"/>
        <w:jc w:val="center"/>
        <w:tblLook w:firstColumn="1" w:firstRow="1" w:lastColumn="0" w:lastRow="0" w:noHBand="0" w:noVBand="1" w:val="04A0"/>
      </w:tblPr>
      <w:tblGrid>
        <w:gridCol w:w="5083"/>
        <w:gridCol w:w="5083"/>
      </w:tblGrid>
      <w:tr>
        <w:trPr>
          <w:tblHeader w:val="true"/>
        </w:trPr>
        <w:tc>
          <w:tcPr>
            <w:tcW w:type="dxa" w:w="2376"/>
            <w:vAlign w:val="top"/>
            <w:shd w:fill="D9EAF7"/>
          </w:tcPr>
          <w:p>
            <w:r/>
            <w:r>
              <w:rPr>
                <w:b/>
              </w:rPr>
              <w:t>Covenant layer</w:t>
            </w:r>
          </w:p>
        </w:tc>
        <w:tc>
          <w:tcPr>
            <w:tcW w:type="dxa" w:w="7416"/>
            <w:vAlign w:val="top"/>
            <w:shd w:fill="D9EAF7"/>
          </w:tcPr>
          <w:p>
            <w:r/>
            <w:r>
              <w:rPr>
                <w:b/>
              </w:rPr>
              <w:t>How it functions in this passage</w:t>
            </w:r>
          </w:p>
        </w:tc>
      </w:tr>
      <w:tr>
        <w:tc>
          <w:tcPr>
            <w:tcW w:type="dxa" w:w="2376"/>
            <w:vAlign w:val="top"/>
          </w:tcPr>
          <w:p>
            <w:r/>
            <w:r>
              <w:rPr>
                <w:b w:val="0"/>
              </w:rPr>
              <w:t>Abrahamic Covenant</w:t>
            </w:r>
          </w:p>
        </w:tc>
        <w:tc>
          <w:tcPr>
            <w:tcW w:type="dxa" w:w="7416"/>
            <w:vAlign w:val="top"/>
          </w:tcPr>
          <w:p>
            <w:r/>
            <w:r>
              <w:rPr>
                <w:b w:val="0"/>
              </w:rPr>
              <w:t>Primary covenant background: promise, seed, blessing, faith, inheritance, and blessing to the nations.</w:t>
            </w:r>
          </w:p>
        </w:tc>
      </w:tr>
      <w:tr>
        <w:tc>
          <w:tcPr>
            <w:tcW w:type="dxa" w:w="2376"/>
            <w:vAlign w:val="top"/>
          </w:tcPr>
          <w:p>
            <w:r/>
            <w:r>
              <w:rPr>
                <w:b w:val="0"/>
              </w:rPr>
              <w:t>Mosaic Covenant</w:t>
            </w:r>
          </w:p>
        </w:tc>
        <w:tc>
          <w:tcPr>
            <w:tcW w:type="dxa" w:w="7416"/>
            <w:vAlign w:val="top"/>
          </w:tcPr>
          <w:p>
            <w:r/>
            <w:r>
              <w:rPr>
                <w:b w:val="0"/>
              </w:rPr>
              <w:t>Contrasted as later and temporary in the argument; it does not cancel the Abrahamic promise.</w:t>
            </w:r>
          </w:p>
        </w:tc>
      </w:tr>
      <w:tr>
        <w:tc>
          <w:tcPr>
            <w:tcW w:type="dxa" w:w="2376"/>
            <w:vAlign w:val="top"/>
          </w:tcPr>
          <w:p>
            <w:r/>
            <w:r>
              <w:rPr>
                <w:b w:val="0"/>
              </w:rPr>
              <w:t>New Covenant in Christ</w:t>
            </w:r>
          </w:p>
        </w:tc>
        <w:tc>
          <w:tcPr>
            <w:tcW w:type="dxa" w:w="7416"/>
            <w:vAlign w:val="top"/>
          </w:tcPr>
          <w:p>
            <w:r/>
            <w:r>
              <w:rPr>
                <w:b w:val="0"/>
              </w:rPr>
              <w:t>Believers receive blessing, sonship, Spirit, and inheritance through Christ by faith.</w:t>
            </w:r>
          </w:p>
        </w:tc>
      </w:tr>
      <w:tr>
        <w:tc>
          <w:tcPr>
            <w:tcW w:type="dxa" w:w="2376"/>
            <w:vAlign w:val="top"/>
          </w:tcPr>
          <w:p>
            <w:r/>
            <w:r>
              <w:rPr>
                <w:b w:val="0"/>
              </w:rPr>
              <w:t>Application control</w:t>
            </w:r>
          </w:p>
        </w:tc>
        <w:tc>
          <w:tcPr>
            <w:tcW w:type="dxa" w:w="7416"/>
            <w:vAlign w:val="top"/>
          </w:tcPr>
          <w:p>
            <w:r/>
            <w:r>
              <w:rPr>
                <w:b w:val="0"/>
              </w:rPr>
              <w:t>Do not place Christians under Mosaic covenant identity markers as the basis of standing with God. Do not discard moral obedience; instead, read obedience through Christ and the Spirit.</w:t>
            </w:r>
          </w:p>
        </w:tc>
      </w:tr>
    </w:tbl>
    <w:p/>
    <w:p>
      <w:pPr>
        <w:pStyle w:val="Heading1"/>
      </w:pPr>
      <w:r>
        <w:t>8. Historical-cultural research notes</w:t>
      </w:r>
    </w:p>
    <w:tbl>
      <w:tblPr>
        <w:tblStyle w:val="TableGrid"/>
        <w:tblW w:type="auto" w:w="0"/>
        <w:jc w:val="center"/>
        <w:tblLook w:firstColumn="1" w:firstRow="1" w:lastColumn="0" w:lastRow="0" w:noHBand="0" w:noVBand="1" w:val="04A0"/>
      </w:tblPr>
      <w:tblGrid>
        <w:gridCol w:w="5083"/>
        <w:gridCol w:w="5083"/>
      </w:tblGrid>
      <w:tr>
        <w:trPr>
          <w:tblHeader w:val="true"/>
        </w:trPr>
        <w:tc>
          <w:tcPr>
            <w:tcW w:type="dxa" w:w="2592"/>
            <w:vAlign w:val="top"/>
            <w:shd w:fill="D9EAF7"/>
          </w:tcPr>
          <w:p>
            <w:r/>
            <w:r>
              <w:rPr>
                <w:b/>
              </w:rPr>
              <w:t>Question</w:t>
            </w:r>
          </w:p>
        </w:tc>
        <w:tc>
          <w:tcPr>
            <w:tcW w:type="dxa" w:w="7200"/>
            <w:vAlign w:val="top"/>
            <w:shd w:fill="D9EAF7"/>
          </w:tcPr>
          <w:p>
            <w:r/>
            <w:r>
              <w:rPr>
                <w:b/>
              </w:rPr>
              <w:t>Text-controlled answer</w:t>
            </w:r>
          </w:p>
        </w:tc>
      </w:tr>
      <w:tr>
        <w:tc>
          <w:tcPr>
            <w:tcW w:type="dxa" w:w="2592"/>
            <w:vAlign w:val="top"/>
          </w:tcPr>
          <w:p>
            <w:r/>
            <w:r>
              <w:rPr>
                <w:b w:val="0"/>
              </w:rPr>
              <w:t>What background helps?</w:t>
            </w:r>
          </w:p>
        </w:tc>
        <w:tc>
          <w:tcPr>
            <w:tcW w:type="dxa" w:w="7200"/>
            <w:vAlign w:val="top"/>
          </w:tcPr>
          <w:p>
            <w:r/>
            <w:r>
              <w:rPr>
                <w:b w:val="0"/>
              </w:rPr>
              <w:t>Jewish/Gentile covenant identity and pressure to adopt law markers help explain the practical force of Paul's argument.</w:t>
            </w:r>
          </w:p>
        </w:tc>
      </w:tr>
      <w:tr>
        <w:tc>
          <w:tcPr>
            <w:tcW w:type="dxa" w:w="2592"/>
            <w:vAlign w:val="top"/>
          </w:tcPr>
          <w:p>
            <w:r/>
            <w:r>
              <w:rPr>
                <w:b w:val="0"/>
              </w:rPr>
              <w:t>What must control the background?</w:t>
            </w:r>
          </w:p>
        </w:tc>
        <w:tc>
          <w:tcPr>
            <w:tcW w:type="dxa" w:w="7200"/>
            <w:vAlign w:val="top"/>
          </w:tcPr>
          <w:p>
            <w:r/>
            <w:r>
              <w:rPr>
                <w:b w:val="0"/>
              </w:rPr>
              <w:t>The text itself: Abraham, promise, law, curse, Christ, Spirit, sonship, and inheritance.</w:t>
            </w:r>
          </w:p>
        </w:tc>
      </w:tr>
      <w:tr>
        <w:tc>
          <w:tcPr>
            <w:tcW w:type="dxa" w:w="2592"/>
            <w:vAlign w:val="top"/>
          </w:tcPr>
          <w:p>
            <w:r/>
            <w:r>
              <w:rPr>
                <w:b w:val="0"/>
              </w:rPr>
              <w:t>What would be speculative?</w:t>
            </w:r>
          </w:p>
        </w:tc>
        <w:tc>
          <w:tcPr>
            <w:tcW w:type="dxa" w:w="7200"/>
            <w:vAlign w:val="top"/>
          </w:tcPr>
          <w:p>
            <w:r/>
            <w:r>
              <w:rPr>
                <w:b w:val="0"/>
              </w:rPr>
              <w:t>Explaining the passage primarily from reconstructed social details while neglecting Paul's explicit argument.</w:t>
            </w:r>
          </w:p>
        </w:tc>
      </w:tr>
    </w:tbl>
    <w:p/>
    <w:p>
      <w:pPr>
        <w:pStyle w:val="Heading1"/>
      </w:pPr>
      <w:r>
        <w:t>9. Theology after exegesis</w:t>
      </w:r>
    </w:p>
    <w:tbl>
      <w:tblPr>
        <w:tblStyle w:val="TableGrid"/>
        <w:tblW w:type="auto" w:w="0"/>
        <w:jc w:val="center"/>
        <w:tblLook w:firstColumn="1" w:firstRow="1" w:lastColumn="0" w:lastRow="0" w:noHBand="0" w:noVBand="1" w:val="04A0"/>
      </w:tblPr>
      <w:tblGrid>
        <w:gridCol w:w="5083"/>
        <w:gridCol w:w="5083"/>
      </w:tblGrid>
      <w:tr>
        <w:trPr>
          <w:tblHeader w:val="true"/>
        </w:trPr>
        <w:tc>
          <w:tcPr>
            <w:tcW w:type="dxa" w:w="2304"/>
            <w:vAlign w:val="top"/>
            <w:shd w:fill="D9EAF7"/>
          </w:tcPr>
          <w:p>
            <w:r/>
            <w:r>
              <w:rPr>
                <w:b/>
              </w:rPr>
              <w:t>Layer</w:t>
            </w:r>
          </w:p>
        </w:tc>
        <w:tc>
          <w:tcPr>
            <w:tcW w:type="dxa" w:w="7488"/>
            <w:vAlign w:val="top"/>
            <w:shd w:fill="D9EAF7"/>
          </w:tcPr>
          <w:p>
            <w:r/>
            <w:r>
              <w:rPr>
                <w:b/>
              </w:rPr>
              <w:t>Model statement</w:t>
            </w:r>
          </w:p>
        </w:tc>
      </w:tr>
      <w:tr>
        <w:tc>
          <w:tcPr>
            <w:tcW w:type="dxa" w:w="2304"/>
            <w:vAlign w:val="top"/>
          </w:tcPr>
          <w:p>
            <w:r/>
            <w:r>
              <w:rPr>
                <w:b w:val="0"/>
              </w:rPr>
              <w:t>Exegesis</w:t>
            </w:r>
          </w:p>
        </w:tc>
        <w:tc>
          <w:tcPr>
            <w:tcW w:type="dxa" w:w="7488"/>
            <w:vAlign w:val="top"/>
          </w:tcPr>
          <w:p>
            <w:r/>
            <w:r>
              <w:rPr>
                <w:b w:val="0"/>
              </w:rPr>
              <w:t>Galatians 3:6-29 teaches that the Abrahamic promise is fulfilled in Christ and received by faith; the Mosaic law did not cancel that promise and served a temporary covenantal function.</w:t>
            </w:r>
          </w:p>
        </w:tc>
      </w:tr>
      <w:tr>
        <w:tc>
          <w:tcPr>
            <w:tcW w:type="dxa" w:w="2304"/>
            <w:vAlign w:val="top"/>
          </w:tcPr>
          <w:p>
            <w:r/>
            <w:r>
              <w:rPr>
                <w:b w:val="0"/>
              </w:rPr>
              <w:t>Biblical theology</w:t>
            </w:r>
          </w:p>
        </w:tc>
        <w:tc>
          <w:tcPr>
            <w:tcW w:type="dxa" w:w="7488"/>
            <w:vAlign w:val="top"/>
          </w:tcPr>
          <w:p>
            <w:r/>
            <w:r>
              <w:rPr>
                <w:b w:val="0"/>
              </w:rPr>
              <w:t>The passage traces the storyline from Abraham to law to Christ to Spirit-filled sonship and inheritance.</w:t>
            </w:r>
          </w:p>
        </w:tc>
      </w:tr>
      <w:tr>
        <w:tc>
          <w:tcPr>
            <w:tcW w:type="dxa" w:w="2304"/>
            <w:vAlign w:val="top"/>
          </w:tcPr>
          <w:p>
            <w:r/>
            <w:r>
              <w:rPr>
                <w:b w:val="0"/>
              </w:rPr>
              <w:t>Systematic theology</w:t>
            </w:r>
          </w:p>
        </w:tc>
        <w:tc>
          <w:tcPr>
            <w:tcW w:type="dxa" w:w="7488"/>
            <w:vAlign w:val="top"/>
          </w:tcPr>
          <w:p>
            <w:r/>
            <w:r>
              <w:rPr>
                <w:b w:val="0"/>
              </w:rPr>
              <w:t>The passage contributes to doctrines of justification, covenant, law and gospel, union with Christ, Spirit, sonship, and inheritance.</w:t>
            </w:r>
          </w:p>
        </w:tc>
      </w:tr>
    </w:tbl>
    <w:p/>
    <w:p>
      <w:pPr>
        <w:pStyle w:val="Heading1"/>
      </w:pPr>
      <w:r>
        <w:t>10. Application</w:t>
      </w:r>
    </w:p>
    <w:tbl>
      <w:tblPr>
        <w:tblStyle w:val="TableGrid"/>
        <w:tblW w:type="auto" w:w="0"/>
        <w:jc w:val="center"/>
        <w:tblLook w:firstColumn="1" w:firstRow="1" w:lastColumn="0" w:lastRow="0" w:noHBand="0" w:noVBand="1" w:val="04A0"/>
      </w:tblPr>
      <w:tblGrid>
        <w:gridCol w:w="5083"/>
        <w:gridCol w:w="5083"/>
      </w:tblGrid>
      <w:tr>
        <w:trPr>
          <w:tblHeader w:val="true"/>
        </w:trPr>
        <w:tc>
          <w:tcPr>
            <w:tcW w:type="dxa" w:w="2160"/>
            <w:vAlign w:val="top"/>
            <w:shd w:fill="D9EAF7"/>
          </w:tcPr>
          <w:p>
            <w:r/>
            <w:r>
              <w:rPr>
                <w:b/>
              </w:rPr>
              <w:t>Step</w:t>
            </w:r>
          </w:p>
        </w:tc>
        <w:tc>
          <w:tcPr>
            <w:tcW w:type="dxa" w:w="7632"/>
            <w:vAlign w:val="top"/>
            <w:shd w:fill="D9EAF7"/>
          </w:tcPr>
          <w:p>
            <w:r/>
            <w:r>
              <w:rPr>
                <w:b/>
              </w:rPr>
              <w:t>Model answer</w:t>
            </w:r>
          </w:p>
        </w:tc>
      </w:tr>
      <w:tr>
        <w:tc>
          <w:tcPr>
            <w:tcW w:type="dxa" w:w="2160"/>
            <w:vAlign w:val="top"/>
          </w:tcPr>
          <w:p>
            <w:r/>
            <w:r>
              <w:rPr>
                <w:b w:val="0"/>
              </w:rPr>
              <w:t>Then-and-there meaning</w:t>
            </w:r>
          </w:p>
        </w:tc>
        <w:tc>
          <w:tcPr>
            <w:tcW w:type="dxa" w:w="7632"/>
            <w:vAlign w:val="top"/>
          </w:tcPr>
          <w:p>
            <w:r/>
            <w:r>
              <w:rPr>
                <w:b w:val="0"/>
              </w:rPr>
              <w:t>The Galatians must not abandon faith in Christ by accepting a law-based definition of covenant standing.</w:t>
            </w:r>
          </w:p>
        </w:tc>
      </w:tr>
      <w:tr>
        <w:tc>
          <w:tcPr>
            <w:tcW w:type="dxa" w:w="2160"/>
            <w:vAlign w:val="top"/>
          </w:tcPr>
          <w:p>
            <w:r/>
            <w:r>
              <w:rPr>
                <w:b w:val="0"/>
              </w:rPr>
              <w:t>Timeless principle</w:t>
            </w:r>
          </w:p>
        </w:tc>
        <w:tc>
          <w:tcPr>
            <w:tcW w:type="dxa" w:w="7632"/>
            <w:vAlign w:val="top"/>
          </w:tcPr>
          <w:p>
            <w:r/>
            <w:r>
              <w:rPr>
                <w:b w:val="0"/>
              </w:rPr>
              <w:t>God's people receive covenant blessing and inheritance through faith in Christ, not by adding identity markers or works as the basis of acceptance.</w:t>
            </w:r>
          </w:p>
        </w:tc>
      </w:tr>
      <w:tr>
        <w:tc>
          <w:tcPr>
            <w:tcW w:type="dxa" w:w="2160"/>
            <w:vAlign w:val="top"/>
          </w:tcPr>
          <w:p>
            <w:r/>
            <w:r>
              <w:rPr>
                <w:b w:val="0"/>
              </w:rPr>
              <w:t>Concrete application</w:t>
            </w:r>
          </w:p>
        </w:tc>
        <w:tc>
          <w:tcPr>
            <w:tcW w:type="dxa" w:w="7632"/>
            <w:vAlign w:val="top"/>
          </w:tcPr>
          <w:p>
            <w:r/>
            <w:r>
              <w:rPr>
                <w:b w:val="0"/>
              </w:rPr>
              <w:t>I will test whether I am grounding assurance, church belonging, or spiritual superiority in Christ alone or in extra markers that function like required badges of acceptance.</w:t>
            </w:r>
          </w:p>
        </w:tc>
      </w:tr>
      <w:tr>
        <w:tc>
          <w:tcPr>
            <w:tcW w:type="dxa" w:w="2160"/>
            <w:vAlign w:val="top"/>
          </w:tcPr>
          <w:p>
            <w:r/>
            <w:r>
              <w:rPr>
                <w:b w:val="0"/>
              </w:rPr>
              <w:t>Prayer response</w:t>
            </w:r>
          </w:p>
        </w:tc>
        <w:tc>
          <w:tcPr>
            <w:tcW w:type="dxa" w:w="7632"/>
            <w:vAlign w:val="top"/>
          </w:tcPr>
          <w:p>
            <w:r/>
            <w:r>
              <w:rPr>
                <w:b w:val="0"/>
              </w:rPr>
              <w:t>Lord, keep my confidence in Christ and teach me Spirit-empowered obedience without turning obedience into the basis of justification.</w:t>
            </w:r>
          </w:p>
        </w:tc>
      </w:tr>
    </w:tbl>
    <w:p/>
    <w:p>
      <w:pPr>
        <w:pStyle w:val="Heading1"/>
      </w:pPr>
      <w:r>
        <w:t>11. Teaching outline</w:t>
      </w:r>
    </w:p>
    <w:p>
      <w:pPr>
        <w:pStyle w:val="ListNumber"/>
      </w:pPr>
      <w:r>
        <w:t>Faith connects believers to Abrahamic blessing (3:6-9).</w:t>
      </w:r>
    </w:p>
    <w:p>
      <w:pPr>
        <w:pStyle w:val="ListNumber"/>
      </w:pPr>
      <w:r>
        <w:t>Christ redeems from the curse so blessing and the Spirit come by faith (3:10-14).</w:t>
      </w:r>
    </w:p>
    <w:p>
      <w:pPr>
        <w:pStyle w:val="ListNumber"/>
      </w:pPr>
      <w:r>
        <w:t>The later law cannot cancel the earlier promise (3:15-18).</w:t>
      </w:r>
    </w:p>
    <w:p>
      <w:pPr>
        <w:pStyle w:val="ListNumber"/>
      </w:pPr>
      <w:r>
        <w:t>The law served a temporary role until Christ (3:19-25).</w:t>
      </w:r>
    </w:p>
    <w:p>
      <w:pPr>
        <w:pStyle w:val="ListNumber"/>
      </w:pPr>
      <w:r>
        <w:t>Those in Christ are sons, one in covenant standing, and heirs according to promise (3:26-29).</w:t>
      </w:r>
    </w:p>
    <w:p>
      <w:pPr>
        <w:pStyle w:val="Heading1"/>
      </w:pPr>
      <w:r>
        <w:t>12. Source log and honesty note</w:t>
      </w:r>
    </w:p>
    <w:p>
      <w:r>
        <w:t>This model shows the kind of evidence students should record before consulting commentaries. A final teaching packet should record all commentaries, lexicons, Bible dictionaries, maps, theological works, AI tools, or classroom notes that materially shaped the conclusion.</w:t>
      </w:r>
    </w:p>
    <w:p>
      <w:pPr>
        <w:pStyle w:val="Heading1"/>
      </w:pPr>
      <w:r>
        <w:t>13. Rubric self-check</w:t>
      </w:r>
    </w:p>
    <w:tbl>
      <w:tblPr>
        <w:tblStyle w:val="TableGrid"/>
        <w:tblW w:type="auto" w:w="0"/>
        <w:jc w:val="center"/>
        <w:tblLook w:firstColumn="1" w:firstRow="1" w:lastColumn="0" w:lastRow="0" w:noHBand="0" w:noVBand="1" w:val="04A0"/>
      </w:tblPr>
      <w:tblGrid>
        <w:gridCol w:w="5083"/>
        <w:gridCol w:w="5083"/>
      </w:tblGrid>
      <w:tr>
        <w:trPr>
          <w:tblHeader w:val="true"/>
        </w:trPr>
        <w:tc>
          <w:tcPr>
            <w:tcW w:type="dxa" w:w="2088"/>
            <w:vAlign w:val="top"/>
            <w:shd w:fill="D9EAF7"/>
          </w:tcPr>
          <w:p>
            <w:r/>
            <w:r>
              <w:rPr>
                <w:b/>
              </w:rPr>
              <w:t>Area</w:t>
            </w:r>
          </w:p>
        </w:tc>
        <w:tc>
          <w:tcPr>
            <w:tcW w:type="dxa" w:w="7632"/>
            <w:vAlign w:val="top"/>
            <w:shd w:fill="D9EAF7"/>
          </w:tcPr>
          <w:p>
            <w:r/>
            <w:r>
              <w:rPr>
                <w:b/>
              </w:rPr>
              <w:t>Self-check result</w:t>
            </w:r>
          </w:p>
        </w:tc>
      </w:tr>
      <w:tr>
        <w:tc>
          <w:tcPr>
            <w:tcW w:type="dxa" w:w="2088"/>
            <w:vAlign w:val="top"/>
          </w:tcPr>
          <w:p>
            <w:r/>
            <w:r>
              <w:rPr>
                <w:b w:val="0"/>
              </w:rPr>
              <w:t>Observation</w:t>
            </w:r>
          </w:p>
        </w:tc>
        <w:tc>
          <w:tcPr>
            <w:tcW w:type="dxa" w:w="7632"/>
            <w:vAlign w:val="top"/>
          </w:tcPr>
          <w:p>
            <w:r/>
            <w:r>
              <w:rPr>
                <w:b w:val="0"/>
              </w:rPr>
              <w:t>Strong: structure, repeated terms, and paragraph movement are named.</w:t>
            </w:r>
          </w:p>
        </w:tc>
      </w:tr>
      <w:tr>
        <w:tc>
          <w:tcPr>
            <w:tcW w:type="dxa" w:w="2088"/>
            <w:vAlign w:val="top"/>
          </w:tcPr>
          <w:p>
            <w:r/>
            <w:r>
              <w:rPr>
                <w:b w:val="0"/>
              </w:rPr>
              <w:t>Interpretation</w:t>
            </w:r>
          </w:p>
        </w:tc>
        <w:tc>
          <w:tcPr>
            <w:tcW w:type="dxa" w:w="7632"/>
            <w:vAlign w:val="top"/>
          </w:tcPr>
          <w:p>
            <w:r/>
            <w:r>
              <w:rPr>
                <w:b w:val="0"/>
              </w:rPr>
              <w:t>Strong: meaning is controlled by argument flow, OT use, covenant context, and Christ-centred fulfilment.</w:t>
            </w:r>
          </w:p>
        </w:tc>
      </w:tr>
      <w:tr>
        <w:tc>
          <w:tcPr>
            <w:tcW w:type="dxa" w:w="2088"/>
            <w:vAlign w:val="top"/>
          </w:tcPr>
          <w:p>
            <w:r/>
            <w:r>
              <w:rPr>
                <w:b w:val="0"/>
              </w:rPr>
              <w:t>Application</w:t>
            </w:r>
          </w:p>
        </w:tc>
        <w:tc>
          <w:tcPr>
            <w:tcW w:type="dxa" w:w="7632"/>
            <w:vAlign w:val="top"/>
          </w:tcPr>
          <w:p>
            <w:r/>
            <w:r>
              <w:rPr>
                <w:b w:val="0"/>
              </w:rPr>
              <w:t>Strong: application moves from original meaning to a specific modern obedience issue.</w:t>
            </w:r>
          </w:p>
        </w:tc>
      </w:tr>
      <w:tr>
        <w:tc>
          <w:tcPr>
            <w:tcW w:type="dxa" w:w="2088"/>
            <w:vAlign w:val="top"/>
          </w:tcPr>
          <w:p>
            <w:r/>
            <w:r>
              <w:rPr>
                <w:b w:val="0"/>
              </w:rPr>
              <w:t>Teaching</w:t>
            </w:r>
          </w:p>
        </w:tc>
        <w:tc>
          <w:tcPr>
            <w:tcW w:type="dxa" w:w="7632"/>
            <w:vAlign w:val="top"/>
          </w:tcPr>
          <w:p>
            <w:r/>
            <w:r>
              <w:rPr>
                <w:b w:val="0"/>
              </w:rPr>
              <w:t>Strong: outline follows the passage order.</w:t>
            </w:r>
          </w:p>
        </w:tc>
      </w:tr>
      <w:tr>
        <w:tc>
          <w:tcPr>
            <w:tcW w:type="dxa" w:w="2088"/>
            <w:vAlign w:val="top"/>
          </w:tcPr>
          <w:p>
            <w:r/>
            <w:r>
              <w:rPr>
                <w:b w:val="0"/>
              </w:rPr>
              <w:t>Caution</w:t>
            </w:r>
          </w:p>
        </w:tc>
        <w:tc>
          <w:tcPr>
            <w:tcW w:type="dxa" w:w="7632"/>
            <w:vAlign w:val="top"/>
          </w:tcPr>
          <w:p>
            <w:r/>
            <w:r>
              <w:rPr>
                <w:b w:val="0"/>
              </w:rPr>
              <w:t>Further study should compare major commentaries and lexical tools after the student has completed this primary work.</w:t>
            </w:r>
          </w:p>
        </w:tc>
      </w:tr>
    </w:tbl>
    <w:p/>
    <w:sectPr w:rsidR="00FC693F" w:rsidRPr="0006063C" w:rsidSect="00034616">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